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3F032">
      <w:pPr>
        <w:spacing w:line="15827" w:lineRule="exact"/>
        <w:sectPr>
          <w:headerReference r:id="rId5" w:type="default"/>
          <w:footerReference r:id="rId6" w:type="default"/>
          <w:pgSz w:w="12240" w:h="15840"/>
          <w:pgMar w:top="1" w:right="427" w:bottom="1" w:left="427" w:header="0" w:footer="0" w:gutter="0"/>
          <w:cols w:space="720" w:num="1"/>
        </w:sectPr>
      </w:pPr>
      <w:r>
        <w:rPr>
          <w:sz w:val="21"/>
        </w:rPr>
        <mc:AlternateContent>
          <mc:Choice Requires="wps">
            <w:drawing>
              <wp:anchor distT="0" distB="0" distL="114300" distR="114300" simplePos="0" relativeHeight="251660288" behindDoc="0" locked="0" layoutInCell="1" allowOverlap="1">
                <wp:simplePos x="0" y="0"/>
                <wp:positionH relativeFrom="column">
                  <wp:posOffset>4025900</wp:posOffset>
                </wp:positionH>
                <wp:positionV relativeFrom="paragraph">
                  <wp:posOffset>6795770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06C3B11A">
                            <w:pPr>
                              <w:rPr>
                                <w:rFonts w:hint="default"/>
                                <w:b/>
                                <w:bCs/>
                                <w:color w:val="C00000"/>
                                <w:sz w:val="60"/>
                                <w:szCs w:val="60"/>
                                <w:lang w:val="en-US"/>
                                <w14:shadow w14:blurRad="38100" w14:dist="25400" w14:dir="5400000" w14:sx="100000" w14:sy="100000" w14:kx="0" w14:ky="0" w14:algn="ctr">
                                  <w14:srgbClr w14:val="6E747A">
                                    <w14:alpha w14:val="57000"/>
                                  </w14:srgbClr>
                                </w14:shadow>
                              </w:rPr>
                            </w:pPr>
                            <w:r>
                              <w:rPr>
                                <w:rFonts w:hint="default"/>
                                <w:b/>
                                <w:bCs/>
                                <w:color w:val="C00000"/>
                                <w:sz w:val="60"/>
                                <w:szCs w:val="60"/>
                                <w:lang w:val="en-US"/>
                                <w14:shadow w14:blurRad="38100" w14:dist="25400" w14:dir="5400000" w14:sx="100000" w14:sy="100000" w14:kx="0" w14:ky="0" w14:algn="ctr">
                                  <w14:srgbClr w14:val="6E747A">
                                    <w14:alpha w14:val="57000"/>
                                  </w14:srgbClr>
                                </w14:shadow>
                              </w:rPr>
                              <w:t>Issue 5 | 2025</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17pt;margin-top:535.1pt;height:144pt;width:144pt;mso-wrap-style:none;z-index:251660288;mso-width-relative:page;mso-height-relative:page;" fillcolor="#FFFFFF [3212]" filled="t" stroked="f" coordsize="21600,21600" o:gfxdata="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sSXZ&#10;n9wAAAANAQAADwAAAAAAAAABACAAAAAiAAAAZHJzL2Rvd25yZXYueG1sUEsBAhQAFAAAAAgAh07i&#10;QDJKS7lXAgAAoAQAAA4AAAAAAAAAAQAgAAAAKwEAAGRycy9lMm9Eb2MueG1sUEsFBgAAAAAGAAYA&#10;WQEAAPQFAAAAAA==&#10;">
                <v:fill on="t" focussize="0,0"/>
                <v:stroke on="f" weight="0.5pt"/>
                <v:imagedata o:title=""/>
                <o:lock v:ext="edit" aspectratio="f"/>
                <v:textbox style="mso-fit-shape-to-text:t;">
                  <w:txbxContent>
                    <w:p w14:paraId="06C3B11A">
                      <w:pPr>
                        <w:rPr>
                          <w:rFonts w:hint="default"/>
                          <w:b/>
                          <w:bCs/>
                          <w:color w:val="C00000"/>
                          <w:sz w:val="60"/>
                          <w:szCs w:val="60"/>
                          <w:lang w:val="en-US"/>
                          <w14:shadow w14:blurRad="38100" w14:dist="25400" w14:dir="5400000" w14:sx="100000" w14:sy="100000" w14:kx="0" w14:ky="0" w14:algn="ctr">
                            <w14:srgbClr w14:val="6E747A">
                              <w14:alpha w14:val="57000"/>
                            </w14:srgbClr>
                          </w14:shadow>
                        </w:rPr>
                      </w:pPr>
                      <w:r>
                        <w:rPr>
                          <w:rFonts w:hint="default"/>
                          <w:b/>
                          <w:bCs/>
                          <w:color w:val="C00000"/>
                          <w:sz w:val="60"/>
                          <w:szCs w:val="60"/>
                          <w:lang w:val="en-US"/>
                          <w14:shadow w14:blurRad="38100" w14:dist="25400" w14:dir="5400000" w14:sx="100000" w14:sy="100000" w14:kx="0" w14:ky="0" w14:algn="ctr">
                            <w14:srgbClr w14:val="6E747A">
                              <w14:alpha w14:val="57000"/>
                            </w14:srgbClr>
                          </w14:shadow>
                        </w:rPr>
                        <w:t>Issue 5 | 2025</w:t>
                      </w:r>
                    </w:p>
                  </w:txbxContent>
                </v:textbox>
              </v:shape>
            </w:pict>
          </mc:Fallback>
        </mc:AlternateContent>
      </w:r>
      <w:r>
        <w:rPr>
          <w:position w:val="-316"/>
        </w:rPr>
        <w:drawing>
          <wp:inline distT="0" distB="0" distL="0" distR="0">
            <wp:extent cx="7229475" cy="1005014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7229558" cy="10050298"/>
                    </a:xfrm>
                    <a:prstGeom prst="rect">
                      <a:avLst/>
                    </a:prstGeom>
                  </pic:spPr>
                </pic:pic>
              </a:graphicData>
            </a:graphic>
          </wp:inline>
        </w:drawing>
      </w:r>
    </w:p>
    <w:p w14:paraId="04C44C84">
      <w:pPr>
        <w:spacing w:after="0" w:line="240" w:lineRule="auto"/>
        <w:jc w:val="center"/>
        <w:rPr>
          <w:rFonts w:ascii="Times New Roman" w:hAnsi="Times New Roman" w:eastAsia="Times New Roman" w:cs="Times New Roman"/>
          <w:b/>
          <w:bCs/>
          <w:szCs w:val="24"/>
          <w:lang w:val="en-US" w:eastAsia="ru-RU"/>
        </w:rPr>
      </w:pPr>
      <w:r>
        <w:rPr>
          <w:position w:val="-65"/>
        </w:rPr>
        <w:drawing>
          <wp:anchor distT="0" distB="0" distL="0" distR="0" simplePos="0" relativeHeight="251661312" behindDoc="0" locked="0" layoutInCell="1" allowOverlap="1">
            <wp:simplePos x="0" y="0"/>
            <wp:positionH relativeFrom="column">
              <wp:posOffset>-468630</wp:posOffset>
            </wp:positionH>
            <wp:positionV relativeFrom="paragraph">
              <wp:posOffset>-746760</wp:posOffset>
            </wp:positionV>
            <wp:extent cx="7772400" cy="2064385"/>
            <wp:effectExtent l="0" t="0" r="0" b="8255"/>
            <wp:wrapSquare wrapText="bothSides"/>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a:stretch>
                      <a:fillRect/>
                    </a:stretch>
                  </pic:blipFill>
                  <pic:spPr>
                    <a:xfrm>
                      <a:off x="0" y="0"/>
                      <a:ext cx="7772400" cy="2064385"/>
                    </a:xfrm>
                    <a:prstGeom prst="rect">
                      <a:avLst/>
                    </a:prstGeom>
                  </pic:spPr>
                </pic:pic>
              </a:graphicData>
            </a:graphic>
          </wp:anchor>
        </w:drawing>
      </w:r>
    </w:p>
    <w:p w14:paraId="3232BC8E">
      <w:pPr>
        <w:spacing w:after="0" w:line="240" w:lineRule="auto"/>
        <w:jc w:val="center"/>
        <w:rPr>
          <w:rFonts w:ascii="Times New Roman" w:hAnsi="Times New Roman" w:eastAsia="Times New Roman" w:cs="Times New Roman"/>
          <w:b/>
          <w:bCs/>
          <w:szCs w:val="24"/>
          <w:lang w:val="en-US" w:eastAsia="ru-RU"/>
        </w:rPr>
        <w:sectPr>
          <w:headerReference r:id="rId7" w:type="default"/>
          <w:footerReference r:id="rId8" w:type="default"/>
          <w:type w:val="continuous"/>
          <w:pgSz w:w="12240" w:h="15840"/>
          <w:pgMar w:top="1057" w:right="799" w:bottom="819" w:left="722" w:header="560" w:footer="575" w:gutter="0"/>
          <w:pgNumType w:start="56"/>
          <w:cols w:space="425" w:num="1"/>
        </w:sectPr>
      </w:pPr>
    </w:p>
    <w:p w14:paraId="58DC2983">
      <w:pPr>
        <w:spacing w:after="0" w:line="240" w:lineRule="auto"/>
        <w:jc w:val="center"/>
        <w:rPr>
          <w:rFonts w:ascii="Times New Roman" w:hAnsi="Times New Roman" w:eastAsia="Times New Roman" w:cs="Times New Roman"/>
          <w:b/>
          <w:bCs/>
          <w:szCs w:val="24"/>
          <w:lang w:val="en-US" w:eastAsia="ru-RU"/>
        </w:rPr>
      </w:pPr>
    </w:p>
    <w:p w14:paraId="2CA9EB08">
      <w:pPr>
        <w:pStyle w:val="2"/>
        <w:spacing w:before="0" w:after="0"/>
        <w:jc w:val="center"/>
        <w:rPr>
          <w:rFonts w:ascii="Times New Roman" w:hAnsi="Times New Roman" w:cs="Times New Roman"/>
          <w:color w:val="000000" w:themeColor="text1"/>
          <w:sz w:val="24"/>
          <w:szCs w:val="24"/>
          <w14:textFill>
            <w14:solidFill>
              <w14:schemeClr w14:val="tx1"/>
            </w14:solidFill>
          </w14:textFill>
        </w:rPr>
        <w:sectPr>
          <w:type w:val="continuous"/>
          <w:pgSz w:w="12240" w:h="15840"/>
          <w:pgMar w:top="1057" w:right="799" w:bottom="819" w:left="722" w:header="560" w:footer="575" w:gutter="0"/>
          <w:cols w:space="425" w:num="1"/>
        </w:sectPr>
      </w:pPr>
    </w:p>
    <w:p w14:paraId="34B2F193">
      <w:pPr>
        <w:autoSpaceDE w:val="0"/>
        <w:autoSpaceDN w:val="0"/>
        <w:adjustRightInd w:val="0"/>
        <w:spacing w:after="0" w:line="240" w:lineRule="auto"/>
        <w:ind w:firstLine="709"/>
        <w:jc w:val="center"/>
        <w:rPr>
          <w:rFonts w:hint="default" w:ascii="Times New Roman" w:hAnsi="Times New Roman" w:eastAsia="TimesNewRomanPS-BoldMT"/>
          <w:b/>
          <w:bCs/>
          <w:color w:val="000000" w:themeColor="text1"/>
          <w:szCs w:val="24"/>
          <w:lang w:val="ru-RU"/>
          <w14:textFill>
            <w14:solidFill>
              <w14:schemeClr w14:val="tx1"/>
            </w14:solidFill>
          </w14:textFill>
        </w:rPr>
      </w:pPr>
      <w:bookmarkStart w:id="3" w:name="_GoBack"/>
      <w:r>
        <w:rPr>
          <w:rFonts w:hint="default" w:ascii="Times New Roman" w:hAnsi="Times New Roman" w:eastAsia="TimesNewRomanPS-BoldMT"/>
          <w:b/>
          <w:bCs/>
          <w:color w:val="000000" w:themeColor="text1"/>
          <w:szCs w:val="24"/>
          <w:lang w:val="ru-RU"/>
          <w14:textFill>
            <w14:solidFill>
              <w14:schemeClr w14:val="tx1"/>
            </w14:solidFill>
          </w14:textFill>
        </w:rPr>
        <w:t>PERSONALIZED APPROACH IN THE THERAPY OF PCOS: MODERN OPPORTUNITIES AND CLINICAL EFFECTIVENESS</w:t>
      </w:r>
    </w:p>
    <w:p w14:paraId="04AC652F">
      <w:pPr>
        <w:autoSpaceDE w:val="0"/>
        <w:autoSpaceDN w:val="0"/>
        <w:adjustRightInd w:val="0"/>
        <w:spacing w:after="0" w:line="240" w:lineRule="auto"/>
        <w:ind w:firstLine="709"/>
        <w:jc w:val="center"/>
        <w:rPr>
          <w:rFonts w:hint="default" w:ascii="Times New Roman" w:hAnsi="Times New Roman" w:eastAsia="TimesNewRomanPS-BoldMT"/>
          <w:b/>
          <w:bCs/>
          <w:color w:val="000000" w:themeColor="text1"/>
          <w:szCs w:val="24"/>
          <w:lang w:val="ru-RU"/>
          <w14:textFill>
            <w14:solidFill>
              <w14:schemeClr w14:val="tx1"/>
            </w14:solidFill>
          </w14:textFill>
        </w:rPr>
      </w:pPr>
      <w:r>
        <w:rPr>
          <w:rFonts w:hint="default" w:ascii="Times New Roman" w:hAnsi="Times New Roman" w:eastAsia="TimesNewRomanPS-BoldMT"/>
          <w:b/>
          <w:bCs/>
          <w:color w:val="000000" w:themeColor="text1"/>
          <w:szCs w:val="24"/>
          <w:lang w:val="ru-RU"/>
          <w14:textFill>
            <w14:solidFill>
              <w14:schemeClr w14:val="tx1"/>
            </w14:solidFill>
          </w14:textFill>
        </w:rPr>
        <w:t>L.R. Agababyan</w:t>
      </w:r>
      <w:bookmarkEnd w:id="3"/>
      <w:r>
        <w:rPr>
          <w:rFonts w:hint="default" w:ascii="Times New Roman" w:hAnsi="Times New Roman" w:eastAsia="TimesNewRomanPS-BoldMT"/>
          <w:b/>
          <w:bCs/>
          <w:color w:val="000000" w:themeColor="text1"/>
          <w:szCs w:val="24"/>
          <w:lang w:val="en-US"/>
          <w14:textFill>
            <w14:solidFill>
              <w14:schemeClr w14:val="tx1"/>
            </w14:solidFill>
          </w14:textFill>
        </w:rPr>
        <w:t xml:space="preserve"> </w:t>
      </w:r>
      <w:r>
        <w:rPr>
          <w:rFonts w:hint="default" w:ascii="Times New Roman" w:hAnsi="Times New Roman" w:eastAsia="TimesNewRomanPS-BoldMT"/>
          <w:b/>
          <w:bCs/>
          <w:color w:val="000000" w:themeColor="text1"/>
          <w:szCs w:val="24"/>
          <w:lang w:val="ru-RU"/>
          <w14:textFill>
            <w14:solidFill>
              <w14:schemeClr w14:val="tx1"/>
            </w14:solidFill>
          </w14:textFill>
        </w:rPr>
        <w:t>[Correspondence author: Doctor of Medical Sciences, Professor, Head of the Department of Obstetrics and Gynecology, FPDO, Samarkand Medical University, Samarkand, Uzbekistan, e-mail: larisa_mct@yahoo.com ], Kh.M. Usmonkulova[Assistant of the Department of Obstetrics and Gynecology, FPDO, Samarkand Medical University, Samarkand, Uzbekistan, e-mail: xabibadjan86@gmail.com]</w:t>
      </w:r>
    </w:p>
    <w:p w14:paraId="7BF1B129">
      <w:pPr>
        <w:autoSpaceDE w:val="0"/>
        <w:autoSpaceDN w:val="0"/>
        <w:adjustRightInd w:val="0"/>
        <w:spacing w:after="0" w:line="240" w:lineRule="auto"/>
        <w:ind w:firstLine="709"/>
        <w:jc w:val="center"/>
        <w:rPr>
          <w:rFonts w:hint="default" w:ascii="Times New Roman" w:hAnsi="Times New Roman" w:eastAsia="TimesNewRomanPS-BoldMT"/>
          <w:b/>
          <w:bCs/>
          <w:color w:val="000000" w:themeColor="text1"/>
          <w:szCs w:val="24"/>
          <w:lang w:val="ru-RU"/>
          <w14:textFill>
            <w14:solidFill>
              <w14:schemeClr w14:val="tx1"/>
            </w14:solidFill>
          </w14:textFill>
        </w:rPr>
      </w:pPr>
    </w:p>
    <w:p w14:paraId="5B9FCDBB">
      <w:pPr>
        <w:autoSpaceDE w:val="0"/>
        <w:autoSpaceDN w:val="0"/>
        <w:adjustRightInd w:val="0"/>
        <w:spacing w:after="0" w:line="240" w:lineRule="auto"/>
        <w:ind w:firstLine="709"/>
        <w:jc w:val="left"/>
        <w:rPr>
          <w:rFonts w:hint="default" w:ascii="Times New Roman" w:hAnsi="Times New Roman" w:eastAsia="TimesNewRomanPS-BoldMT"/>
          <w:b w:val="0"/>
          <w:bCs w:val="0"/>
          <w:color w:val="000000" w:themeColor="text1"/>
          <w:szCs w:val="24"/>
          <w:lang w:val="ru-RU"/>
          <w14:textFill>
            <w14:solidFill>
              <w14:schemeClr w14:val="tx1"/>
            </w14:solidFill>
          </w14:textFill>
        </w:rPr>
      </w:pPr>
      <w:r>
        <w:rPr>
          <w:rFonts w:hint="default" w:ascii="Times New Roman" w:hAnsi="Times New Roman" w:eastAsia="TimesNewRomanPS-BoldMT"/>
          <w:b w:val="0"/>
          <w:bCs w:val="0"/>
          <w:color w:val="000000" w:themeColor="text1"/>
          <w:szCs w:val="24"/>
          <w:lang w:val="ru-RU"/>
          <w14:textFill>
            <w14:solidFill>
              <w14:schemeClr w14:val="tx1"/>
            </w14:solidFill>
          </w14:textFill>
        </w:rPr>
        <w:t>ABSTRACT</w:t>
      </w:r>
    </w:p>
    <w:p w14:paraId="31009A95">
      <w:pPr>
        <w:autoSpaceDE w:val="0"/>
        <w:autoSpaceDN w:val="0"/>
        <w:adjustRightInd w:val="0"/>
        <w:spacing w:after="0" w:line="240" w:lineRule="auto"/>
        <w:ind w:firstLine="709"/>
        <w:jc w:val="left"/>
        <w:rPr>
          <w:rFonts w:hint="default" w:ascii="Times New Roman" w:hAnsi="Times New Roman" w:eastAsia="TimesNewRomanPS-BoldMT"/>
          <w:b w:val="0"/>
          <w:bCs w:val="0"/>
          <w:color w:val="000000" w:themeColor="text1"/>
          <w:szCs w:val="24"/>
          <w:lang w:val="ru-RU"/>
          <w14:textFill>
            <w14:solidFill>
              <w14:schemeClr w14:val="tx1"/>
            </w14:solidFill>
          </w14:textFill>
        </w:rPr>
      </w:pPr>
      <w:r>
        <w:rPr>
          <w:rFonts w:hint="default" w:ascii="Times New Roman" w:hAnsi="Times New Roman" w:eastAsia="TimesNewRomanPS-BoldMT"/>
          <w:b w:val="0"/>
          <w:bCs w:val="0"/>
          <w:color w:val="000000" w:themeColor="text1"/>
          <w:szCs w:val="24"/>
          <w:lang w:val="ru-RU"/>
          <w14:textFill>
            <w14:solidFill>
              <w14:schemeClr w14:val="tx1"/>
            </w14:solidFill>
          </w14:textFill>
        </w:rPr>
        <w:t>Polycystic ovary syndrome is a heterogeneous complex disorder characterized by oligoanovulation, hyperandrogenism and/or hyperandrogenemia, as well as polycystic morphological changes in the ovaries. Interest in PCOS encompasses several specific aspects, including reproductive, cosmetic, and medical ones.</w:t>
      </w:r>
    </w:p>
    <w:p w14:paraId="483E0CA2">
      <w:pPr>
        <w:autoSpaceDE w:val="0"/>
        <w:autoSpaceDN w:val="0"/>
        <w:adjustRightInd w:val="0"/>
        <w:spacing w:after="0" w:line="240" w:lineRule="auto"/>
        <w:ind w:firstLine="709"/>
        <w:jc w:val="left"/>
        <w:rPr>
          <w:rFonts w:hint="default" w:ascii="Times New Roman" w:hAnsi="Times New Roman" w:eastAsia="TimesNewRomanPS-BoldMT"/>
          <w:b w:val="0"/>
          <w:bCs w:val="0"/>
          <w:color w:val="000000" w:themeColor="text1"/>
          <w:szCs w:val="24"/>
          <w:lang w:val="ru-RU"/>
          <w14:textFill>
            <w14:solidFill>
              <w14:schemeClr w14:val="tx1"/>
            </w14:solidFill>
          </w14:textFill>
        </w:rPr>
      </w:pPr>
      <w:r>
        <w:rPr>
          <w:rFonts w:hint="default" w:ascii="Times New Roman" w:hAnsi="Times New Roman" w:eastAsia="TimesNewRomanPS-BoldMT"/>
          <w:b w:val="0"/>
          <w:bCs w:val="0"/>
          <w:color w:val="000000" w:themeColor="text1"/>
          <w:szCs w:val="24"/>
          <w:lang w:val="ru-RU"/>
          <w14:textFill>
            <w14:solidFill>
              <w14:schemeClr w14:val="tx1"/>
            </w14:solidFill>
          </w14:textFill>
        </w:rPr>
        <w:t>Keywords: PCOS, etiology, treatment, myoinositol, ovulation induction, salivation, combined oral contraceptives, lifestyle modification</w:t>
      </w:r>
    </w:p>
    <w:p w14:paraId="0DA54ABF">
      <w:pPr>
        <w:autoSpaceDE w:val="0"/>
        <w:autoSpaceDN w:val="0"/>
        <w:adjustRightInd w:val="0"/>
        <w:spacing w:after="0" w:line="240" w:lineRule="auto"/>
        <w:ind w:firstLine="709"/>
        <w:jc w:val="center"/>
        <w:rPr>
          <w:rFonts w:hint="default" w:ascii="Times New Roman" w:hAnsi="Times New Roman" w:eastAsia="TimesNewRomanPS-BoldMT"/>
          <w:b/>
          <w:bCs/>
          <w:color w:val="000000" w:themeColor="text1"/>
          <w:szCs w:val="24"/>
          <w:lang w:val="ru-RU"/>
          <w14:textFill>
            <w14:solidFill>
              <w14:schemeClr w14:val="tx1"/>
            </w14:solidFill>
          </w14:textFill>
        </w:rPr>
      </w:pPr>
    </w:p>
    <w:p w14:paraId="1FD8DE0F">
      <w:pPr>
        <w:autoSpaceDE w:val="0"/>
        <w:autoSpaceDN w:val="0"/>
        <w:adjustRightInd w:val="0"/>
        <w:spacing w:after="0" w:line="240" w:lineRule="auto"/>
        <w:ind w:firstLine="709"/>
        <w:jc w:val="center"/>
        <w:rPr>
          <w:rFonts w:ascii="Times New Roman" w:hAnsi="Times New Roman" w:eastAsia="TimesNewRomanPS-BoldMT" w:cs="Times New Roman"/>
          <w:b/>
          <w:bCs/>
          <w:color w:val="000000" w:themeColor="text1"/>
          <w:szCs w:val="24"/>
          <w:lang w:val="ru-RU"/>
          <w14:textFill>
            <w14:solidFill>
              <w14:schemeClr w14:val="tx1"/>
            </w14:solidFill>
          </w14:textFill>
        </w:rPr>
      </w:pPr>
      <w:r>
        <w:rPr>
          <w:rFonts w:ascii="Times New Roman" w:hAnsi="Times New Roman" w:eastAsia="TimesNewRomanPS-BoldMT" w:cs="Times New Roman"/>
          <w:b/>
          <w:bCs/>
          <w:color w:val="000000" w:themeColor="text1"/>
          <w:szCs w:val="24"/>
          <w:lang w:val="ru-RU"/>
          <w14:textFill>
            <w14:solidFill>
              <w14:schemeClr w14:val="tx1"/>
            </w14:solidFill>
          </w14:textFill>
        </w:rPr>
        <w:t xml:space="preserve">ПЕРСОНАЛИЗИРОВАННЫЙ ПОДХОД В ТЕРАПИИ СПКЯ: СОВРЕМЕННЫЕ ВОЗМОЖНОСТИ И КЛИНИЧЕСКАЯ ЭФФЕКТИВНОСТЬ </w:t>
      </w:r>
    </w:p>
    <w:p w14:paraId="5DCB9973">
      <w:pPr>
        <w:autoSpaceDE w:val="0"/>
        <w:autoSpaceDN w:val="0"/>
        <w:adjustRightInd w:val="0"/>
        <w:spacing w:after="0" w:line="240" w:lineRule="auto"/>
        <w:ind w:firstLine="709"/>
        <w:jc w:val="center"/>
        <w:rPr>
          <w:rFonts w:ascii="Times New Roman" w:hAnsi="Times New Roman" w:eastAsia="TimesNewRomanPS-BoldMT" w:cs="Times New Roman"/>
          <w:b/>
          <w:bCs/>
          <w:color w:val="000000" w:themeColor="text1"/>
          <w:szCs w:val="24"/>
          <w:lang w:val="ru-RU"/>
          <w14:textFill>
            <w14:solidFill>
              <w14:schemeClr w14:val="tx1"/>
            </w14:solidFill>
          </w14:textFill>
        </w:rPr>
      </w:pPr>
      <w:r>
        <w:rPr>
          <w:rFonts w:ascii="Times New Roman" w:hAnsi="Times New Roman" w:eastAsia="TimesNewRomanPS-BoldMT" w:cs="Times New Roman"/>
          <w:b/>
          <w:bCs/>
          <w:color w:val="000000" w:themeColor="text1"/>
          <w:szCs w:val="24"/>
          <w:lang w:val="ru-RU"/>
          <w14:textFill>
            <w14:solidFill>
              <w14:schemeClr w14:val="tx1"/>
            </w14:solidFill>
          </w14:textFill>
        </w:rPr>
        <w:t>Л.Р. Агабабян</w:t>
      </w:r>
      <w:r>
        <w:rPr>
          <w:rStyle w:val="6"/>
          <w:rFonts w:ascii="Times New Roman" w:hAnsi="Times New Roman" w:eastAsia="TimesNewRomanPS-BoldMT" w:cs="Times New Roman"/>
          <w:b/>
          <w:bCs/>
          <w:color w:val="000000" w:themeColor="text1"/>
          <w:szCs w:val="24"/>
          <w:lang w:val="uz-Cyrl-UZ"/>
          <w14:textFill>
            <w14:solidFill>
              <w14:schemeClr w14:val="tx1"/>
            </w14:solidFill>
          </w14:textFill>
        </w:rPr>
        <w:footnoteReference w:id="0"/>
      </w:r>
      <w:r>
        <w:rPr>
          <w:rFonts w:ascii="Times New Roman" w:hAnsi="Times New Roman" w:eastAsia="TimesNewRomanPS-BoldMT" w:cs="Times New Roman"/>
          <w:b/>
          <w:bCs/>
          <w:color w:val="000000" w:themeColor="text1"/>
          <w:szCs w:val="24"/>
          <w:lang w:val="uz-Cyrl-UZ"/>
          <w14:textFill>
            <w14:solidFill>
              <w14:schemeClr w14:val="tx1"/>
            </w14:solidFill>
          </w14:textFill>
        </w:rPr>
        <w:t xml:space="preserve">, </w:t>
      </w:r>
      <w:r>
        <w:rPr>
          <w:rFonts w:ascii="Times New Roman" w:hAnsi="Times New Roman" w:eastAsia="TimesNewRomanPS-BoldMT" w:cs="Times New Roman"/>
          <w:b/>
          <w:bCs/>
          <w:color w:val="000000" w:themeColor="text1"/>
          <w:szCs w:val="24"/>
          <w:lang w:val="ru-RU"/>
          <w14:textFill>
            <w14:solidFill>
              <w14:schemeClr w14:val="tx1"/>
            </w14:solidFill>
          </w14:textFill>
        </w:rPr>
        <w:t>Х.М. Усмонкулова</w:t>
      </w:r>
      <w:r>
        <w:rPr>
          <w:rStyle w:val="6"/>
          <w:rFonts w:ascii="Times New Roman" w:hAnsi="Times New Roman" w:eastAsia="TimesNewRomanPS-BoldMT" w:cs="Times New Roman"/>
          <w:b/>
          <w:bCs/>
          <w:color w:val="000000" w:themeColor="text1"/>
          <w:szCs w:val="24"/>
          <w:lang w:val="uz-Cyrl-UZ"/>
          <w14:textFill>
            <w14:solidFill>
              <w14:schemeClr w14:val="tx1"/>
            </w14:solidFill>
          </w14:textFill>
        </w:rPr>
        <w:footnoteReference w:id="1"/>
      </w:r>
    </w:p>
    <w:p w14:paraId="66CAACDD">
      <w:pPr>
        <w:autoSpaceDE w:val="0"/>
        <w:autoSpaceDN w:val="0"/>
        <w:adjustRightInd w:val="0"/>
        <w:spacing w:after="0" w:line="240" w:lineRule="auto"/>
        <w:ind w:firstLine="709"/>
        <w:jc w:val="both"/>
        <w:rPr>
          <w:rFonts w:ascii="Times New Roman" w:hAnsi="Times New Roman" w:eastAsia="TimesNewRomanPS-BoldMT" w:cs="Times New Roman"/>
          <w:color w:val="000000" w:themeColor="text1"/>
          <w:szCs w:val="24"/>
          <w:lang w:val="ru-RU"/>
          <w14:textFill>
            <w14:solidFill>
              <w14:schemeClr w14:val="tx1"/>
            </w14:solidFill>
          </w14:textFill>
        </w:rPr>
      </w:pPr>
    </w:p>
    <w:p w14:paraId="08567D32">
      <w:pPr>
        <w:autoSpaceDE w:val="0"/>
        <w:autoSpaceDN w:val="0"/>
        <w:adjustRightInd w:val="0"/>
        <w:spacing w:after="0" w:line="240" w:lineRule="auto"/>
        <w:ind w:firstLine="709"/>
        <w:rPr>
          <w:rFonts w:ascii="Times New Roman" w:hAnsi="Times New Roman" w:eastAsia="TimesNewRomanPS-BoldMT" w:cs="Times New Roman"/>
          <w:b/>
          <w:bCs/>
          <w:color w:val="000000" w:themeColor="text1"/>
          <w:szCs w:val="24"/>
          <w:lang w:val="ru-RU"/>
          <w14:textFill>
            <w14:solidFill>
              <w14:schemeClr w14:val="tx1"/>
            </w14:solidFill>
          </w14:textFill>
        </w:rPr>
      </w:pPr>
      <w:r>
        <w:rPr>
          <w:rFonts w:ascii="Times New Roman" w:hAnsi="Times New Roman" w:eastAsia="TimesNewRomanPS-BoldMT" w:cs="Times New Roman"/>
          <w:b/>
          <w:bCs/>
          <w:color w:val="000000" w:themeColor="text1"/>
          <w:szCs w:val="24"/>
          <w:lang w:val="uz-Cyrl-UZ"/>
          <w14:textFill>
            <w14:solidFill>
              <w14:schemeClr w14:val="tx1"/>
            </w14:solidFill>
          </w14:textFill>
        </w:rPr>
        <w:t xml:space="preserve">АБСТРАКТ </w:t>
      </w:r>
    </w:p>
    <w:p w14:paraId="790D91A5">
      <w:pPr>
        <w:spacing w:after="0" w:line="240" w:lineRule="auto"/>
        <w:ind w:firstLine="709"/>
        <w:jc w:val="both"/>
        <w:rPr>
          <w:rFonts w:ascii="Times New Roman" w:hAnsi="Times New Roman" w:eastAsia="TimesNewRomanPSMT" w:cs="Times New Roman"/>
          <w:i/>
          <w:iCs/>
          <w:color w:val="000000" w:themeColor="text1"/>
          <w:szCs w:val="24"/>
          <w:lang w:val="ru-RU"/>
          <w14:textFill>
            <w14:solidFill>
              <w14:schemeClr w14:val="tx1"/>
            </w14:solidFill>
          </w14:textFill>
        </w:rPr>
      </w:pPr>
      <w:bookmarkStart w:id="0" w:name="_Hlk196129585"/>
      <w:r>
        <w:rPr>
          <w:rFonts w:ascii="Times New Roman" w:hAnsi="Times New Roman" w:eastAsia="TimesNewRomanPSMT" w:cs="Times New Roman"/>
          <w:i/>
          <w:iCs/>
          <w:color w:val="000000" w:themeColor="text1"/>
          <w:szCs w:val="24"/>
          <w:lang w:val="ru-RU"/>
          <w14:textFill>
            <w14:solidFill>
              <w14:schemeClr w14:val="tx1"/>
            </w14:solidFill>
          </w14:textFill>
        </w:rPr>
        <w:t xml:space="preserve">Синдром поликистозных яичников (СПКЯ) представляет собой гетерогенное комплексное нарушение, характеризующееся олиго-ановуляцией, гиперандрогенизмом и/или гипреандрогенемией, а также поликистозными морфологическими изменениями яичников. Интерес к СПКЯ охватывает несколько специфических аспектов, включая репродуктивные, косметические и медицинские </w:t>
      </w:r>
    </w:p>
    <w:p w14:paraId="189966C6">
      <w:pPr>
        <w:spacing w:after="0" w:line="240" w:lineRule="auto"/>
        <w:ind w:firstLine="709"/>
        <w:jc w:val="both"/>
        <w:rPr>
          <w:rFonts w:ascii="Times New Roman" w:hAnsi="Times New Roman" w:eastAsia="TimesNewRomanPSMT" w:cs="Times New Roman"/>
          <w:i/>
          <w:iCs/>
          <w:color w:val="000000" w:themeColor="text1"/>
          <w:szCs w:val="24"/>
          <w:lang w:val="ru-RU"/>
          <w14:textFill>
            <w14:solidFill>
              <w14:schemeClr w14:val="tx1"/>
            </w14:solidFill>
          </w14:textFill>
        </w:rPr>
      </w:pPr>
      <w:r>
        <w:rPr>
          <w:rFonts w:ascii="Times New Roman" w:hAnsi="Times New Roman" w:eastAsia="TimesNewRomanPSMT" w:cs="Times New Roman"/>
          <w:b/>
          <w:bCs/>
          <w:i/>
          <w:iCs/>
          <w:color w:val="000000" w:themeColor="text1"/>
          <w:szCs w:val="24"/>
          <w:lang w:val="ru-RU"/>
          <w14:textFill>
            <w14:solidFill>
              <w14:schemeClr w14:val="tx1"/>
            </w14:solidFill>
          </w14:textFill>
        </w:rPr>
        <w:t>Ключевые слова:</w:t>
      </w:r>
      <w:r>
        <w:rPr>
          <w:rFonts w:ascii="Times New Roman" w:hAnsi="Times New Roman" w:eastAsia="TimesNewRomanPSMT" w:cs="Times New Roman"/>
          <w:i/>
          <w:iCs/>
          <w:color w:val="000000" w:themeColor="text1"/>
          <w:szCs w:val="24"/>
          <w:lang w:val="ru-RU"/>
          <w14:textFill>
            <w14:solidFill>
              <w14:schemeClr w14:val="tx1"/>
            </w14:solidFill>
          </w14:textFill>
        </w:rPr>
        <w:t xml:space="preserve"> СПЯ, этиология, лечение, миоинозитол, индукция овуляции, слюнотечение, комбинированные оральные контрацептивы, модификация образа жизни</w:t>
      </w:r>
    </w:p>
    <w:p w14:paraId="500868E9">
      <w:pPr>
        <w:autoSpaceDE w:val="0"/>
        <w:autoSpaceDN w:val="0"/>
        <w:adjustRightInd w:val="0"/>
        <w:spacing w:after="0" w:line="240" w:lineRule="auto"/>
        <w:ind w:firstLine="709"/>
        <w:jc w:val="both"/>
        <w:rPr>
          <w:rStyle w:val="28"/>
          <w:rFonts w:eastAsia="Calibri"/>
          <w:i/>
          <w:iCs/>
          <w:color w:val="000000" w:themeColor="text1"/>
          <w:sz w:val="24"/>
          <w:szCs w:val="24"/>
          <w14:textFill>
            <w14:solidFill>
              <w14:schemeClr w14:val="tx1"/>
            </w14:solidFill>
          </w14:textFill>
        </w:rPr>
      </w:pPr>
      <w:r>
        <w:rPr>
          <w:rFonts w:ascii="Times New Roman" w:hAnsi="Times New Roman" w:eastAsia="Calibri" w:cs="Times New Roman"/>
          <w:b/>
          <w:bCs/>
          <w:i/>
          <w:iCs/>
          <w:color w:val="000000" w:themeColor="text1"/>
          <w:szCs w:val="24"/>
          <w:lang w:val="en-US" w:bidi="ru-RU"/>
          <w14:textFill>
            <w14:solidFill>
              <w14:schemeClr w14:val="tx1"/>
            </w14:solidFill>
          </w14:textFill>
        </w:rPr>
        <w:t>How to Cite:</w:t>
      </w:r>
      <w:r>
        <w:rPr>
          <w:rFonts w:ascii="Times New Roman" w:hAnsi="Times New Roman" w:eastAsia="Calibri" w:cs="Times New Roman"/>
          <w:i/>
          <w:iCs/>
          <w:color w:val="000000" w:themeColor="text1"/>
          <w:szCs w:val="24"/>
          <w:lang w:val="en-US" w:bidi="ru-RU"/>
          <w14:textFill>
            <w14:solidFill>
              <w14:schemeClr w14:val="tx1"/>
            </w14:solidFill>
          </w14:textFill>
        </w:rPr>
        <w:t xml:space="preserve"> </w:t>
      </w:r>
      <w:r>
        <w:rPr>
          <w:rFonts w:ascii="Times New Roman" w:hAnsi="Times New Roman" w:eastAsia="TimesNewRomanPS-BoldMT" w:cs="Times New Roman"/>
          <w:i/>
          <w:iCs/>
          <w:color w:val="000000" w:themeColor="text1"/>
          <w:szCs w:val="24"/>
          <w:lang w:val="en-US"/>
          <w14:textFill>
            <w14:solidFill>
              <w14:schemeClr w14:val="tx1"/>
            </w14:solidFill>
          </w14:textFill>
        </w:rPr>
        <w:t>L.R.Agababyan</w:t>
      </w:r>
      <w:r>
        <w:rPr>
          <w:rFonts w:ascii="Times New Roman" w:hAnsi="Times New Roman" w:eastAsia="TimesNewRomanPS-BoldMT" w:cs="Times New Roman"/>
          <w:i/>
          <w:iCs/>
          <w:color w:val="000000" w:themeColor="text1"/>
          <w:szCs w:val="24"/>
          <w:lang w:val="uz-Cyrl-UZ"/>
          <w14:textFill>
            <w14:solidFill>
              <w14:schemeClr w14:val="tx1"/>
            </w14:solidFill>
          </w14:textFill>
        </w:rPr>
        <w:t xml:space="preserve">, </w:t>
      </w:r>
      <w:r>
        <w:rPr>
          <w:rFonts w:ascii="Times New Roman" w:hAnsi="Times New Roman" w:eastAsia="TimesNewRomanPS-BoldMT" w:cs="Times New Roman"/>
          <w:i/>
          <w:iCs/>
          <w:color w:val="000000" w:themeColor="text1"/>
          <w:szCs w:val="24"/>
          <w:lang w:val="en-US"/>
          <w14:textFill>
            <w14:solidFill>
              <w14:schemeClr w14:val="tx1"/>
            </w14:solidFill>
          </w14:textFill>
        </w:rPr>
        <w:t>X.M.Usmonqulova,</w:t>
      </w:r>
      <w:r>
        <w:rPr>
          <w:rFonts w:ascii="Times New Roman" w:hAnsi="Times New Roman" w:eastAsia="Calibri" w:cs="Times New Roman"/>
          <w:i/>
          <w:iCs/>
          <w:color w:val="000000" w:themeColor="text1"/>
          <w:szCs w:val="24"/>
          <w:lang w:val="en-US" w:bidi="ru-RU"/>
          <w14:textFill>
            <w14:solidFill>
              <w14:schemeClr w14:val="tx1"/>
            </w14:solidFill>
          </w14:textFill>
        </w:rPr>
        <w:t xml:space="preserve"> Personalized approach in therapy of cspcd: current opportunities and clinical efficacy// Journal of Educational &amp; Scientific Medicine, 2025. Vol</w:t>
      </w:r>
      <w:r>
        <w:rPr>
          <w:rFonts w:ascii="Times New Roman" w:hAnsi="Times New Roman" w:eastAsia="Calibri" w:cs="Times New Roman"/>
          <w:i/>
          <w:iCs/>
          <w:color w:val="000000" w:themeColor="text1"/>
          <w:szCs w:val="24"/>
          <w:lang w:val="ru-RU" w:bidi="ru-RU"/>
          <w14:textFill>
            <w14:solidFill>
              <w14:schemeClr w14:val="tx1"/>
            </w14:solidFill>
          </w14:textFill>
        </w:rPr>
        <w:t xml:space="preserve">. , </w:t>
      </w:r>
      <w:r>
        <w:rPr>
          <w:rFonts w:ascii="Times New Roman" w:hAnsi="Times New Roman" w:eastAsia="Calibri" w:cs="Times New Roman"/>
          <w:i/>
          <w:iCs/>
          <w:color w:val="000000" w:themeColor="text1"/>
          <w:szCs w:val="24"/>
          <w:lang w:val="en-US" w:bidi="ru-RU"/>
          <w14:textFill>
            <w14:solidFill>
              <w14:schemeClr w14:val="tx1"/>
            </w14:solidFill>
          </w14:textFill>
        </w:rPr>
        <w:t>Issue</w:t>
      </w:r>
      <w:r>
        <w:rPr>
          <w:rFonts w:ascii="Times New Roman" w:hAnsi="Times New Roman" w:eastAsia="Calibri" w:cs="Times New Roman"/>
          <w:i/>
          <w:iCs/>
          <w:color w:val="000000" w:themeColor="text1"/>
          <w:szCs w:val="24"/>
          <w:lang w:val="ru-RU" w:bidi="ru-RU"/>
          <w14:textFill>
            <w14:solidFill>
              <w14:schemeClr w14:val="tx1"/>
            </w14:solidFill>
          </w14:textFill>
        </w:rPr>
        <w:t xml:space="preserve"> , </w:t>
      </w:r>
      <w:r>
        <w:rPr>
          <w:rFonts w:ascii="Times New Roman" w:hAnsi="Times New Roman" w:eastAsia="Calibri" w:cs="Times New Roman"/>
          <w:i/>
          <w:iCs/>
          <w:color w:val="000000" w:themeColor="text1"/>
          <w:szCs w:val="24"/>
          <w:lang w:val="en-US" w:bidi="ru-RU"/>
          <w14:textFill>
            <w14:solidFill>
              <w14:schemeClr w14:val="tx1"/>
            </w14:solidFill>
          </w14:textFill>
        </w:rPr>
        <w:t>P</w:t>
      </w:r>
      <w:r>
        <w:rPr>
          <w:rFonts w:ascii="Times New Roman" w:hAnsi="Times New Roman" w:eastAsia="Calibri" w:cs="Times New Roman"/>
          <w:i/>
          <w:iCs/>
          <w:color w:val="000000" w:themeColor="text1"/>
          <w:szCs w:val="24"/>
          <w:lang w:val="ru-RU" w:bidi="ru-RU"/>
          <w14:textFill>
            <w14:solidFill>
              <w14:schemeClr w14:val="tx1"/>
            </w14:solidFill>
          </w14:textFill>
        </w:rPr>
        <w:t xml:space="preserve">. </w:t>
      </w:r>
    </w:p>
    <w:bookmarkEnd w:id="0"/>
    <w:p w14:paraId="6DAD8836">
      <w:pPr>
        <w:autoSpaceDE w:val="0"/>
        <w:autoSpaceDN w:val="0"/>
        <w:adjustRightInd w:val="0"/>
        <w:spacing w:after="0" w:line="240" w:lineRule="auto"/>
        <w:ind w:firstLine="709"/>
        <w:jc w:val="both"/>
        <w:rPr>
          <w:rFonts w:ascii="Times New Roman" w:hAnsi="Times New Roman" w:eastAsia="TimesNewRomanPSMT" w:cs="Times New Roman"/>
          <w:color w:val="000000" w:themeColor="text1"/>
          <w:szCs w:val="24"/>
          <w:lang w:val="ru-RU"/>
          <w14:textFill>
            <w14:solidFill>
              <w14:schemeClr w14:val="tx1"/>
            </w14:solidFill>
          </w14:textFill>
        </w:rPr>
      </w:pPr>
    </w:p>
    <w:p w14:paraId="354F6A17">
      <w:pPr>
        <w:autoSpaceDE w:val="0"/>
        <w:autoSpaceDN w:val="0"/>
        <w:adjustRightInd w:val="0"/>
        <w:spacing w:after="0" w:line="240" w:lineRule="auto"/>
        <w:ind w:firstLine="709"/>
        <w:jc w:val="both"/>
        <w:rPr>
          <w:rFonts w:ascii="Times New Roman" w:hAnsi="Times New Roman" w:cs="Times New Roman"/>
          <w:color w:val="000000" w:themeColor="text1"/>
          <w:szCs w:val="24"/>
          <w:lang w:val="ru-RU"/>
          <w14:textFill>
            <w14:solidFill>
              <w14:schemeClr w14:val="tx1"/>
            </w14:solidFill>
          </w14:textFill>
        </w:rPr>
      </w:pPr>
      <w:r>
        <w:rPr>
          <w:rFonts w:ascii="Times New Roman" w:hAnsi="Times New Roman" w:cs="Times New Roman"/>
          <w:color w:val="000000" w:themeColor="text1"/>
          <w:szCs w:val="24"/>
          <w:lang w:val="ru-RU"/>
          <w14:textFill>
            <w14:solidFill>
              <w14:schemeClr w14:val="tx1"/>
            </w14:solidFill>
          </w14:textFill>
        </w:rPr>
        <w:t>Синдром поликистозных яичников (СПКЯ) представляет собой гетерогенное комплексное нарушение, характеризующееся олигоановуляцией, гиперандрогенизмом и/или гипреандрогенемией, а также поликистозными морфологическими изменениями яичников. Интерес к СПКЯ охватывает несколько специфических аспектов, включая репродуктивные, косметические и медицинские [1,3]. Синдром поликистозных яичников (СПКЯ) – разнородное и комплексное нарушение, характеризующееся как метаболическими, так и гормональными расстройствами и являющееся одним из основных причин бесплодия у женщин. Много информации появилось в последние годы с целью определения диагностических критериев этого синдрома. Помимо гормональных аспектов и метаболических нарушений, таких как инсулинорезистентность и ожирение, восприимчивость к развитию более ранней, чем ожидалось, толерантности к глюкозе рассматривается идея о том, что эти аспекты должны быть включены в диагностические критерии для выработки потенциальных терапевтических стратегий. Кроме того, семейный анамнез СПКЯ в семьях и у родственников как женского, так и мужского пола могут демонстрировать стигматы синдрома, что позволяет предположить генетический фон [2,4,6]. Доступные диагностические критерии. Сегодня широко используются три основных набора критериев СПКЯ. 1. Критерии Национального института здоровья (</w:t>
      </w:r>
      <w:r>
        <w:rPr>
          <w:rFonts w:ascii="Times New Roman" w:hAnsi="Times New Roman" w:cs="Times New Roman"/>
          <w:color w:val="000000" w:themeColor="text1"/>
          <w:szCs w:val="24"/>
          <w14:textFill>
            <w14:solidFill>
              <w14:schemeClr w14:val="tx1"/>
            </w14:solidFill>
          </w14:textFill>
        </w:rPr>
        <w:t>NIH</w:t>
      </w:r>
      <w:r>
        <w:rPr>
          <w:rFonts w:ascii="Times New Roman" w:hAnsi="Times New Roman" w:cs="Times New Roman"/>
          <w:color w:val="000000" w:themeColor="text1"/>
          <w:szCs w:val="24"/>
          <w:lang w:val="ru-RU"/>
          <w14:textFill>
            <w14:solidFill>
              <w14:schemeClr w14:val="tx1"/>
            </w14:solidFill>
          </w14:textFill>
        </w:rPr>
        <w:t>) Первый набор критериев взят из материалов конференции экспертов, организованной Национальным институтом здоровья детей и болезней человека (</w:t>
      </w:r>
      <w:r>
        <w:rPr>
          <w:rFonts w:ascii="Times New Roman" w:hAnsi="Times New Roman" w:cs="Times New Roman"/>
          <w:color w:val="000000" w:themeColor="text1"/>
          <w:szCs w:val="24"/>
          <w14:textFill>
            <w14:solidFill>
              <w14:schemeClr w14:val="tx1"/>
            </w14:solidFill>
          </w14:textFill>
        </w:rPr>
        <w:t>NICHD</w:t>
      </w:r>
      <w:r>
        <w:rPr>
          <w:rFonts w:ascii="Times New Roman" w:hAnsi="Times New Roman" w:cs="Times New Roman"/>
          <w:color w:val="000000" w:themeColor="text1"/>
          <w:szCs w:val="24"/>
          <w:lang w:val="ru-RU"/>
          <w14:textFill>
            <w14:solidFill>
              <w14:schemeClr w14:val="tx1"/>
            </w14:solidFill>
          </w14:textFill>
        </w:rPr>
        <w:t>) Национального института здравоохранения США (</w:t>
      </w:r>
      <w:r>
        <w:rPr>
          <w:rFonts w:ascii="Times New Roman" w:hAnsi="Times New Roman" w:cs="Times New Roman"/>
          <w:color w:val="000000" w:themeColor="text1"/>
          <w:szCs w:val="24"/>
          <w14:textFill>
            <w14:solidFill>
              <w14:schemeClr w14:val="tx1"/>
            </w14:solidFill>
          </w14:textFill>
        </w:rPr>
        <w:t>NIH</w:t>
      </w:r>
      <w:r>
        <w:rPr>
          <w:rFonts w:ascii="Times New Roman" w:hAnsi="Times New Roman" w:cs="Times New Roman"/>
          <w:color w:val="000000" w:themeColor="text1"/>
          <w:szCs w:val="24"/>
          <w:lang w:val="ru-RU"/>
          <w14:textFill>
            <w14:solidFill>
              <w14:schemeClr w14:val="tx1"/>
            </w14:solidFill>
          </w14:textFill>
        </w:rPr>
        <w:t xml:space="preserve">) 16-18 апреля 1990 года. Эксперты пришли к выводу о том, что основные критерии СПКЯ должны включать: 1) гиперандрогенизм (чрезмерное оволосение, которое появляется по мужскому типу, акне или андрогенная алопеция) и/или гиперандрогенемию (повышенный уровень сывороточного андрогена и повышенный общий, биодоступный или свободный сывороточный тестостерон); 2) ановуляцию или олиго-овуляцию (ановуляция может проявляться как частое кровотечение с интервалами 35 дней; средний уровень прогестерона ниже 3-4 нг / мл может помочь в постановке диагноза); и 3) исключение других известных нарушений (таблица 1). Гирсутизм можно оценить с помощью шкалы Ферримана-Галвея или её утверждённых модификаций. </w:t>
      </w:r>
    </w:p>
    <w:p w14:paraId="42A5D28A">
      <w:pPr>
        <w:autoSpaceDE w:val="0"/>
        <w:autoSpaceDN w:val="0"/>
        <w:adjustRightInd w:val="0"/>
        <w:spacing w:after="0" w:line="240" w:lineRule="auto"/>
        <w:ind w:firstLine="709"/>
        <w:jc w:val="both"/>
        <w:rPr>
          <w:rFonts w:ascii="Times New Roman" w:hAnsi="Times New Roman" w:cs="Times New Roman"/>
          <w:b/>
          <w:bCs/>
          <w:color w:val="000000" w:themeColor="text1"/>
          <w:szCs w:val="24"/>
          <w:lang w:val="ru-RU"/>
          <w14:textFill>
            <w14:solidFill>
              <w14:schemeClr w14:val="tx1"/>
            </w14:solidFill>
          </w14:textFill>
        </w:rPr>
      </w:pPr>
      <w:r>
        <w:rPr>
          <w:rFonts w:ascii="Times New Roman" w:hAnsi="Times New Roman" w:cs="Times New Roman"/>
          <w:b/>
          <w:bCs/>
          <w:color w:val="000000" w:themeColor="text1"/>
          <w:szCs w:val="24"/>
          <w:lang w:val="ru-RU"/>
          <w14:textFill>
            <w14:solidFill>
              <w14:schemeClr w14:val="tx1"/>
            </w14:solidFill>
          </w14:textFill>
        </w:rPr>
        <w:t xml:space="preserve">Таблица 1 </w:t>
      </w:r>
    </w:p>
    <w:p w14:paraId="6E8ADE55">
      <w:pPr>
        <w:autoSpaceDE w:val="0"/>
        <w:autoSpaceDN w:val="0"/>
        <w:adjustRightInd w:val="0"/>
        <w:spacing w:after="0" w:line="240" w:lineRule="auto"/>
        <w:ind w:firstLine="709"/>
        <w:jc w:val="both"/>
        <w:rPr>
          <w:rFonts w:ascii="Times New Roman" w:hAnsi="Times New Roman" w:cs="Times New Roman"/>
          <w:b/>
          <w:bCs/>
          <w:color w:val="000000" w:themeColor="text1"/>
          <w:szCs w:val="24"/>
          <w:lang w:val="ru-RU"/>
          <w14:textFill>
            <w14:solidFill>
              <w14:schemeClr w14:val="tx1"/>
            </w14:solidFill>
          </w14:textFill>
        </w:rPr>
      </w:pPr>
      <w:r>
        <w:rPr>
          <w:rFonts w:ascii="Times New Roman" w:hAnsi="Times New Roman" w:cs="Times New Roman"/>
          <w:b/>
          <w:bCs/>
          <w:color w:val="000000" w:themeColor="text1"/>
          <w:szCs w:val="24"/>
          <w:lang w:val="ru-RU"/>
          <w14:textFill>
            <w14:solidFill>
              <w14:schemeClr w14:val="tx1"/>
            </w14:solidFill>
          </w14:textFill>
        </w:rPr>
        <w:t xml:space="preserve">Диагностические критерии СПКЯ по данным конференции </w:t>
      </w:r>
      <w:r>
        <w:rPr>
          <w:rFonts w:ascii="Times New Roman" w:hAnsi="Times New Roman" w:cs="Times New Roman"/>
          <w:b/>
          <w:bCs/>
          <w:color w:val="000000" w:themeColor="text1"/>
          <w:szCs w:val="24"/>
          <w14:textFill>
            <w14:solidFill>
              <w14:schemeClr w14:val="tx1"/>
            </w14:solidFill>
          </w14:textFill>
        </w:rPr>
        <w:t>NIH</w:t>
      </w:r>
      <w:r>
        <w:rPr>
          <w:rFonts w:ascii="Times New Roman" w:hAnsi="Times New Roman" w:cs="Times New Roman"/>
          <w:b/>
          <w:bCs/>
          <w:color w:val="000000" w:themeColor="text1"/>
          <w:szCs w:val="24"/>
          <w:lang w:val="ru-RU"/>
          <w14:textFill>
            <w14:solidFill>
              <w14:schemeClr w14:val="tx1"/>
            </w14:solidFill>
          </w14:textFill>
        </w:rPr>
        <w:t xml:space="preserve"> 1990 года, пересмотренные критерии консенсусного совещания под эгидой </w:t>
      </w:r>
      <w:r>
        <w:rPr>
          <w:rFonts w:ascii="Times New Roman" w:hAnsi="Times New Roman" w:cs="Times New Roman"/>
          <w:b/>
          <w:bCs/>
          <w:color w:val="000000" w:themeColor="text1"/>
          <w:szCs w:val="24"/>
          <w14:textFill>
            <w14:solidFill>
              <w14:schemeClr w14:val="tx1"/>
            </w14:solidFill>
          </w14:textFill>
        </w:rPr>
        <w:t>ESHRE</w:t>
      </w:r>
      <w:r>
        <w:rPr>
          <w:rFonts w:ascii="Times New Roman" w:hAnsi="Times New Roman" w:cs="Times New Roman"/>
          <w:b/>
          <w:bCs/>
          <w:color w:val="000000" w:themeColor="text1"/>
          <w:szCs w:val="24"/>
          <w:lang w:val="ru-RU"/>
          <w14:textFill>
            <w14:solidFill>
              <w14:schemeClr w14:val="tx1"/>
            </w14:solidFill>
          </w14:textFill>
        </w:rPr>
        <w:t>/</w:t>
      </w:r>
      <w:r>
        <w:rPr>
          <w:rFonts w:ascii="Times New Roman" w:hAnsi="Times New Roman" w:cs="Times New Roman"/>
          <w:b/>
          <w:bCs/>
          <w:color w:val="000000" w:themeColor="text1"/>
          <w:szCs w:val="24"/>
          <w14:textFill>
            <w14:solidFill>
              <w14:schemeClr w14:val="tx1"/>
            </w14:solidFill>
          </w14:textFill>
        </w:rPr>
        <w:t>ASRM</w:t>
      </w:r>
      <w:r>
        <w:rPr>
          <w:rFonts w:ascii="Times New Roman" w:hAnsi="Times New Roman" w:cs="Times New Roman"/>
          <w:b/>
          <w:bCs/>
          <w:color w:val="000000" w:themeColor="text1"/>
          <w:szCs w:val="24"/>
          <w:lang w:val="ru-RU"/>
          <w14:textFill>
            <w14:solidFill>
              <w14:schemeClr w14:val="tx1"/>
            </w14:solidFill>
          </w14:textFill>
        </w:rPr>
        <w:t xml:space="preserve"> (2003 год) и критерии Общество по гиперандрогенемиям и СПКЯ (</w:t>
      </w:r>
      <w:r>
        <w:rPr>
          <w:rFonts w:ascii="Times New Roman" w:hAnsi="Times New Roman" w:cs="Times New Roman"/>
          <w:b/>
          <w:bCs/>
          <w:color w:val="000000" w:themeColor="text1"/>
          <w:szCs w:val="24"/>
          <w14:textFill>
            <w14:solidFill>
              <w14:schemeClr w14:val="tx1"/>
            </w14:solidFill>
          </w14:textFill>
        </w:rPr>
        <w:t>AE</w:t>
      </w:r>
      <w:r>
        <w:rPr>
          <w:rFonts w:ascii="Times New Roman" w:hAnsi="Times New Roman" w:cs="Times New Roman"/>
          <w:b/>
          <w:bCs/>
          <w:color w:val="000000" w:themeColor="text1"/>
          <w:szCs w:val="24"/>
          <w:lang w:val="ru-RU"/>
          <w14:textFill>
            <w14:solidFill>
              <w14:schemeClr w14:val="tx1"/>
            </w14:solidFill>
          </w14:textFill>
        </w:rPr>
        <w:t xml:space="preserve"> –</w:t>
      </w:r>
      <w:r>
        <w:rPr>
          <w:rFonts w:ascii="Times New Roman" w:hAnsi="Times New Roman" w:cs="Times New Roman"/>
          <w:b/>
          <w:bCs/>
          <w:color w:val="000000" w:themeColor="text1"/>
          <w:szCs w:val="24"/>
          <w14:textFill>
            <w14:solidFill>
              <w14:schemeClr w14:val="tx1"/>
            </w14:solidFill>
          </w14:textFill>
        </w:rPr>
        <w:t>PCOS</w:t>
      </w:r>
      <w:r>
        <w:rPr>
          <w:rFonts w:ascii="Times New Roman" w:hAnsi="Times New Roman" w:cs="Times New Roman"/>
          <w:b/>
          <w:bCs/>
          <w:color w:val="000000" w:themeColor="text1"/>
          <w:szCs w:val="24"/>
          <w:lang w:val="ru-RU"/>
          <w14:textFill>
            <w14:solidFill>
              <w14:schemeClr w14:val="tx1"/>
            </w14:solidFill>
          </w14:textFill>
        </w:rPr>
        <w:t xml:space="preserve"> </w:t>
      </w:r>
      <w:r>
        <w:rPr>
          <w:rFonts w:ascii="Times New Roman" w:hAnsi="Times New Roman" w:cs="Times New Roman"/>
          <w:b/>
          <w:bCs/>
          <w:color w:val="000000" w:themeColor="text1"/>
          <w:szCs w:val="24"/>
          <w14:textFill>
            <w14:solidFill>
              <w14:schemeClr w14:val="tx1"/>
            </w14:solidFill>
          </w14:textFill>
        </w:rPr>
        <w:t>Society</w:t>
      </w:r>
      <w:r>
        <w:rPr>
          <w:rFonts w:ascii="Times New Roman" w:hAnsi="Times New Roman" w:cs="Times New Roman"/>
          <w:b/>
          <w:bCs/>
          <w:color w:val="000000" w:themeColor="text1"/>
          <w:szCs w:val="24"/>
          <w:lang w:val="ru-RU"/>
          <w14:textFill>
            <w14:solidFill>
              <w14:schemeClr w14:val="tx1"/>
            </w14:solidFill>
          </w14:textFill>
        </w:rPr>
        <w:t xml:space="preserve">) (2006). </w:t>
      </w:r>
    </w:p>
    <w:p w14:paraId="608059CA">
      <w:pPr>
        <w:autoSpaceDE w:val="0"/>
        <w:autoSpaceDN w:val="0"/>
        <w:adjustRightInd w:val="0"/>
        <w:spacing w:after="0" w:line="240" w:lineRule="auto"/>
        <w:ind w:firstLine="709"/>
        <w:jc w:val="both"/>
        <w:rPr>
          <w:rFonts w:ascii="Times New Roman" w:hAnsi="Times New Roman" w:cs="Times New Roman"/>
          <w:b/>
          <w:bCs/>
          <w:color w:val="000000" w:themeColor="text1"/>
          <w:szCs w:val="24"/>
          <w:lang w:val="ru-RU"/>
          <w14:textFill>
            <w14:solidFill>
              <w14:schemeClr w14:val="tx1"/>
            </w14:solidFill>
          </w14:textFill>
        </w:rPr>
      </w:pPr>
    </w:p>
    <w:tbl>
      <w:tblPr>
        <w:tblStyle w:val="29"/>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3114"/>
        <w:gridCol w:w="3115"/>
        <w:gridCol w:w="3115"/>
      </w:tblGrid>
      <w:tr w14:paraId="4386A44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114" w:type="dxa"/>
            <w:shd w:val="clear" w:color="auto" w:fill="8DB3E2" w:themeFill="text2" w:themeFillTint="66"/>
          </w:tcPr>
          <w:p w14:paraId="37017E6A">
            <w:pPr>
              <w:spacing w:after="0" w:line="240" w:lineRule="auto"/>
              <w:ind w:firstLine="709"/>
              <w:rPr>
                <w:rFonts w:ascii="Times New Roman" w:hAnsi="Times New Roman" w:cs="Times New Roman"/>
                <w:b/>
                <w:bCs/>
                <w:color w:val="000000" w:themeColor="text1"/>
                <w:szCs w:val="24"/>
                <w14:textFill>
                  <w14:solidFill>
                    <w14:schemeClr w14:val="tx1"/>
                  </w14:solidFill>
                </w14:textFill>
              </w:rPr>
            </w:pPr>
            <w:r>
              <w:rPr>
                <w:rFonts w:ascii="Times New Roman" w:hAnsi="Times New Roman" w:cs="Times New Roman"/>
                <w:b/>
                <w:bCs/>
                <w:color w:val="000000" w:themeColor="text1"/>
                <w:szCs w:val="24"/>
                <w14:textFill>
                  <w14:solidFill>
                    <w14:schemeClr w14:val="tx1"/>
                  </w14:solidFill>
                </w14:textFill>
              </w:rPr>
              <w:t>Критерии NIH (1990)</w:t>
            </w:r>
          </w:p>
        </w:tc>
        <w:tc>
          <w:tcPr>
            <w:tcW w:w="3115" w:type="dxa"/>
            <w:shd w:val="clear" w:color="auto" w:fill="8DB3E2" w:themeFill="text2" w:themeFillTint="66"/>
          </w:tcPr>
          <w:p w14:paraId="4F5B6ECA">
            <w:pPr>
              <w:spacing w:after="0" w:line="240" w:lineRule="auto"/>
              <w:ind w:firstLine="709"/>
              <w:rPr>
                <w:rFonts w:ascii="Times New Roman" w:hAnsi="Times New Roman" w:cs="Times New Roman"/>
                <w:b/>
                <w:bCs/>
                <w:color w:val="000000" w:themeColor="text1"/>
                <w:szCs w:val="24"/>
                <w14:textFill>
                  <w14:solidFill>
                    <w14:schemeClr w14:val="tx1"/>
                  </w14:solidFill>
                </w14:textFill>
              </w:rPr>
            </w:pPr>
            <w:r>
              <w:rPr>
                <w:rFonts w:ascii="Times New Roman" w:hAnsi="Times New Roman" w:cs="Times New Roman"/>
                <w:b/>
                <w:bCs/>
                <w:color w:val="000000" w:themeColor="text1"/>
                <w:szCs w:val="24"/>
                <w14:textFill>
                  <w14:solidFill>
                    <w14:schemeClr w14:val="tx1"/>
                  </w14:solidFill>
                </w14:textFill>
              </w:rPr>
              <w:t>Роттердамские критерии (2003)</w:t>
            </w:r>
          </w:p>
        </w:tc>
        <w:tc>
          <w:tcPr>
            <w:tcW w:w="3115" w:type="dxa"/>
            <w:shd w:val="clear" w:color="auto" w:fill="8DB3E2" w:themeFill="text2" w:themeFillTint="66"/>
          </w:tcPr>
          <w:p w14:paraId="01B623C3">
            <w:pPr>
              <w:spacing w:after="0" w:line="240" w:lineRule="auto"/>
              <w:ind w:firstLine="709"/>
              <w:rPr>
                <w:rFonts w:ascii="Times New Roman" w:hAnsi="Times New Roman" w:cs="Times New Roman"/>
                <w:b/>
                <w:bCs/>
                <w:color w:val="000000" w:themeColor="text1"/>
                <w:szCs w:val="24"/>
                <w:lang w:val="ru-RU"/>
                <w14:textFill>
                  <w14:solidFill>
                    <w14:schemeClr w14:val="tx1"/>
                  </w14:solidFill>
                </w14:textFill>
              </w:rPr>
            </w:pPr>
            <w:r>
              <w:rPr>
                <w:rFonts w:ascii="Times New Roman" w:hAnsi="Times New Roman" w:cs="Times New Roman"/>
                <w:b/>
                <w:bCs/>
                <w:color w:val="000000" w:themeColor="text1"/>
                <w:szCs w:val="24"/>
                <w:lang w:val="ru-RU"/>
                <w14:textFill>
                  <w14:solidFill>
                    <w14:schemeClr w14:val="tx1"/>
                  </w14:solidFill>
                </w14:textFill>
              </w:rPr>
              <w:t>Общество по гиперандрогенемиям и СПКЯ (2006)</w:t>
            </w:r>
          </w:p>
        </w:tc>
      </w:tr>
      <w:tr w14:paraId="3EFC267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114" w:type="dxa"/>
            <w:shd w:val="clear" w:color="auto" w:fill="DBE5F1" w:themeFill="accent1" w:themeFillTint="33"/>
          </w:tcPr>
          <w:p w14:paraId="1F598A6C">
            <w:pPr>
              <w:spacing w:after="0" w:line="240" w:lineRule="auto"/>
              <w:ind w:firstLine="709"/>
              <w:rPr>
                <w:rFonts w:ascii="Times New Roman" w:hAnsi="Times New Roman" w:cs="Times New Roman"/>
                <w:b w:val="0"/>
                <w:bCs/>
                <w:color w:val="000000" w:themeColor="text1"/>
                <w:szCs w:val="24"/>
                <w:lang w:val="ru-RU"/>
                <w14:textFill>
                  <w14:solidFill>
                    <w14:schemeClr w14:val="tx1"/>
                  </w14:solidFill>
                </w14:textFill>
              </w:rPr>
            </w:pPr>
            <w:r>
              <w:rPr>
                <w:rFonts w:ascii="Times New Roman" w:hAnsi="Times New Roman" w:cs="Times New Roman"/>
                <w:b w:val="0"/>
                <w:bCs/>
                <w:color w:val="000000" w:themeColor="text1"/>
                <w:szCs w:val="24"/>
                <w:lang w:val="ru-RU"/>
                <w14:textFill>
                  <w14:solidFill>
                    <w14:schemeClr w14:val="tx1"/>
                  </w14:solidFill>
                </w14:textFill>
              </w:rPr>
              <w:t xml:space="preserve">Должен включать всё перечисленное: </w:t>
            </w:r>
          </w:p>
          <w:p w14:paraId="49200C0E">
            <w:pPr>
              <w:spacing w:after="0" w:line="240" w:lineRule="auto"/>
              <w:ind w:firstLine="709"/>
              <w:rPr>
                <w:rFonts w:ascii="Times New Roman" w:hAnsi="Times New Roman" w:cs="Times New Roman"/>
                <w:b w:val="0"/>
                <w:bCs/>
                <w:color w:val="000000" w:themeColor="text1"/>
                <w:szCs w:val="24"/>
                <w:lang w:val="ru-RU"/>
                <w14:textFill>
                  <w14:solidFill>
                    <w14:schemeClr w14:val="tx1"/>
                  </w14:solidFill>
                </w14:textFill>
              </w:rPr>
            </w:pPr>
            <w:r>
              <w:rPr>
                <w:rFonts w:ascii="Times New Roman" w:hAnsi="Times New Roman" w:cs="Times New Roman"/>
                <w:b w:val="0"/>
                <w:bCs/>
                <w:color w:val="000000" w:themeColor="text1"/>
                <w:szCs w:val="24"/>
                <w:lang w:val="ru-RU"/>
                <w14:textFill>
                  <w14:solidFill>
                    <w14:schemeClr w14:val="tx1"/>
                  </w14:solidFill>
                </w14:textFill>
              </w:rPr>
              <w:t xml:space="preserve"> –  Гиперандрогенизм и/или гиперандрогенемия  </w:t>
            </w:r>
          </w:p>
          <w:p w14:paraId="6D7B3F1D">
            <w:pPr>
              <w:spacing w:after="0" w:line="240" w:lineRule="auto"/>
              <w:ind w:firstLine="709"/>
              <w:rPr>
                <w:rFonts w:ascii="Times New Roman" w:hAnsi="Times New Roman" w:cs="Times New Roman"/>
                <w:b/>
                <w:bCs/>
                <w:color w:val="000000" w:themeColor="text1"/>
                <w:szCs w:val="24"/>
                <w14:textFill>
                  <w14:solidFill>
                    <w14:schemeClr w14:val="tx1"/>
                  </w14:solidFill>
                </w14:textFill>
              </w:rPr>
            </w:pPr>
            <w:r>
              <w:rPr>
                <w:rFonts w:ascii="Times New Roman" w:hAnsi="Times New Roman" w:cs="Times New Roman"/>
                <w:b w:val="0"/>
                <w:bCs/>
                <w:color w:val="000000" w:themeColor="text1"/>
                <w:szCs w:val="24"/>
                <w14:textFill>
                  <w14:solidFill>
                    <w14:schemeClr w14:val="tx1"/>
                  </w14:solidFill>
                </w14:textFill>
              </w:rPr>
              <w:t>–  Ановуляция или олигоовуляция</w:t>
            </w:r>
          </w:p>
        </w:tc>
        <w:tc>
          <w:tcPr>
            <w:tcW w:w="3115" w:type="dxa"/>
            <w:shd w:val="clear" w:color="auto" w:fill="DBE5F1" w:themeFill="accent1" w:themeFillTint="33"/>
          </w:tcPr>
          <w:p w14:paraId="2C31270F">
            <w:pPr>
              <w:spacing w:after="0" w:line="240" w:lineRule="auto"/>
              <w:ind w:firstLine="709"/>
              <w:rPr>
                <w:rFonts w:ascii="Times New Roman" w:hAnsi="Times New Roman" w:cs="Times New Roman"/>
                <w:color w:val="000000" w:themeColor="text1"/>
                <w:szCs w:val="24"/>
                <w:lang w:val="ru-RU"/>
                <w14:textFill>
                  <w14:solidFill>
                    <w14:schemeClr w14:val="tx1"/>
                  </w14:solidFill>
                </w14:textFill>
              </w:rPr>
            </w:pPr>
            <w:r>
              <w:rPr>
                <w:rFonts w:ascii="Times New Roman" w:hAnsi="Times New Roman" w:cs="Times New Roman"/>
                <w:color w:val="000000" w:themeColor="text1"/>
                <w:szCs w:val="24"/>
                <w:lang w:val="ru-RU"/>
                <w14:textFill>
                  <w14:solidFill>
                    <w14:schemeClr w14:val="tx1"/>
                  </w14:solidFill>
                </w14:textFill>
              </w:rPr>
              <w:t>Должен включать 2 признака из перечисленных:</w:t>
            </w:r>
          </w:p>
          <w:p w14:paraId="74B43719">
            <w:pPr>
              <w:spacing w:after="0" w:line="240" w:lineRule="auto"/>
              <w:ind w:firstLine="709"/>
              <w:rPr>
                <w:rFonts w:ascii="Times New Roman" w:hAnsi="Times New Roman" w:cs="Times New Roman"/>
                <w:color w:val="000000" w:themeColor="text1"/>
                <w:szCs w:val="24"/>
                <w:lang w:val="ru-RU"/>
                <w14:textFill>
                  <w14:solidFill>
                    <w14:schemeClr w14:val="tx1"/>
                  </w14:solidFill>
                </w14:textFill>
              </w:rPr>
            </w:pPr>
            <w:r>
              <w:rPr>
                <w:rFonts w:ascii="Times New Roman" w:hAnsi="Times New Roman" w:cs="Times New Roman"/>
                <w:color w:val="000000" w:themeColor="text1"/>
                <w:szCs w:val="24"/>
                <w:lang w:val="ru-RU"/>
                <w14:textFill>
                  <w14:solidFill>
                    <w14:schemeClr w14:val="tx1"/>
                  </w14:solidFill>
                </w14:textFill>
              </w:rPr>
              <w:t xml:space="preserve"> –  Ановуляция или олигоовуляция </w:t>
            </w:r>
          </w:p>
          <w:p w14:paraId="40B2B351">
            <w:pPr>
              <w:spacing w:after="0" w:line="240" w:lineRule="auto"/>
              <w:ind w:firstLine="709"/>
              <w:rPr>
                <w:rFonts w:ascii="Times New Roman" w:hAnsi="Times New Roman" w:cs="Times New Roman"/>
                <w:color w:val="000000" w:themeColor="text1"/>
                <w:szCs w:val="24"/>
                <w:lang w:val="ru-RU"/>
                <w14:textFill>
                  <w14:solidFill>
                    <w14:schemeClr w14:val="tx1"/>
                  </w14:solidFill>
                </w14:textFill>
              </w:rPr>
            </w:pPr>
            <w:r>
              <w:rPr>
                <w:rFonts w:ascii="Times New Roman" w:hAnsi="Times New Roman" w:cs="Times New Roman"/>
                <w:color w:val="000000" w:themeColor="text1"/>
                <w:szCs w:val="24"/>
                <w:lang w:val="ru-RU"/>
                <w14:textFill>
                  <w14:solidFill>
                    <w14:schemeClr w14:val="tx1"/>
                  </w14:solidFill>
                </w14:textFill>
              </w:rPr>
              <w:t>–  Клинические или биохимические признаки гиперандрогенизма</w:t>
            </w:r>
          </w:p>
          <w:p w14:paraId="2296005F">
            <w:pPr>
              <w:spacing w:after="0" w:line="240" w:lineRule="auto"/>
              <w:ind w:firstLine="709"/>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lang w:val="ru-RU"/>
                <w14:textFill>
                  <w14:solidFill>
                    <w14:schemeClr w14:val="tx1"/>
                  </w14:solidFill>
                </w14:textFill>
              </w:rPr>
              <w:t xml:space="preserve"> </w:t>
            </w:r>
            <w:r>
              <w:rPr>
                <w:rFonts w:ascii="Times New Roman" w:hAnsi="Times New Roman" w:cs="Times New Roman"/>
                <w:color w:val="000000" w:themeColor="text1"/>
                <w:szCs w:val="24"/>
                <w14:textFill>
                  <w14:solidFill>
                    <w14:schemeClr w14:val="tx1"/>
                  </w14:solidFill>
                </w14:textFill>
              </w:rPr>
              <w:t>– ПКМЯ</w:t>
            </w:r>
          </w:p>
        </w:tc>
        <w:tc>
          <w:tcPr>
            <w:tcW w:w="3115" w:type="dxa"/>
            <w:shd w:val="clear" w:color="auto" w:fill="DBE5F1" w:themeFill="accent1" w:themeFillTint="33"/>
          </w:tcPr>
          <w:p w14:paraId="6F98FD19">
            <w:pPr>
              <w:spacing w:after="0" w:line="240" w:lineRule="auto"/>
              <w:ind w:firstLine="709"/>
              <w:rPr>
                <w:rFonts w:ascii="Times New Roman" w:hAnsi="Times New Roman" w:cs="Times New Roman"/>
                <w:color w:val="000000" w:themeColor="text1"/>
                <w:szCs w:val="24"/>
                <w:lang w:val="ru-RU"/>
                <w14:textFill>
                  <w14:solidFill>
                    <w14:schemeClr w14:val="tx1"/>
                  </w14:solidFill>
                </w14:textFill>
              </w:rPr>
            </w:pPr>
            <w:r>
              <w:rPr>
                <w:rFonts w:ascii="Times New Roman" w:hAnsi="Times New Roman" w:cs="Times New Roman"/>
                <w:color w:val="000000" w:themeColor="text1"/>
                <w:szCs w:val="24"/>
                <w:lang w:val="ru-RU"/>
                <w14:textFill>
                  <w14:solidFill>
                    <w14:schemeClr w14:val="tx1"/>
                  </w14:solidFill>
                </w14:textFill>
              </w:rPr>
              <w:t>Должен включать всё перечисленное: –  Гирсутизм и/или гиперандрогенемия</w:t>
            </w:r>
          </w:p>
          <w:p w14:paraId="5B3297F3">
            <w:pPr>
              <w:spacing w:after="0" w:line="240" w:lineRule="auto"/>
              <w:ind w:firstLine="709"/>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lang w:val="ru-RU"/>
                <w14:textFill>
                  <w14:solidFill>
                    <w14:schemeClr w14:val="tx1"/>
                  </w14:solidFill>
                </w14:textFill>
              </w:rPr>
              <w:t xml:space="preserve"> </w:t>
            </w:r>
            <w:r>
              <w:rPr>
                <w:rFonts w:ascii="Times New Roman" w:hAnsi="Times New Roman" w:cs="Times New Roman"/>
                <w:color w:val="000000" w:themeColor="text1"/>
                <w:szCs w:val="24"/>
                <w14:textFill>
                  <w14:solidFill>
                    <w14:schemeClr w14:val="tx1"/>
                  </w14:solidFill>
                </w14:textFill>
              </w:rPr>
              <w:t>–  Олигоовуляция и/или ПКМЯ</w:t>
            </w:r>
          </w:p>
        </w:tc>
      </w:tr>
    </w:tbl>
    <w:p w14:paraId="6A5C46E5">
      <w:pPr>
        <w:autoSpaceDE w:val="0"/>
        <w:autoSpaceDN w:val="0"/>
        <w:adjustRightInd w:val="0"/>
        <w:spacing w:after="0" w:line="240" w:lineRule="auto"/>
        <w:ind w:firstLine="709"/>
        <w:jc w:val="both"/>
        <w:rPr>
          <w:rFonts w:ascii="Times New Roman" w:hAnsi="Times New Roman" w:eastAsia="TimesNewRomanPSMT" w:cs="Times New Roman"/>
          <w:b/>
          <w:bCs/>
          <w:color w:val="000000" w:themeColor="text1"/>
          <w:szCs w:val="24"/>
          <w:lang w:val="en-US"/>
          <w14:textFill>
            <w14:solidFill>
              <w14:schemeClr w14:val="tx1"/>
            </w14:solidFill>
          </w14:textFill>
        </w:rPr>
      </w:pPr>
    </w:p>
    <w:p w14:paraId="7118AAB6">
      <w:pPr>
        <w:autoSpaceDE w:val="0"/>
        <w:autoSpaceDN w:val="0"/>
        <w:adjustRightInd w:val="0"/>
        <w:spacing w:after="0" w:line="240" w:lineRule="auto"/>
        <w:ind w:firstLine="709"/>
        <w:jc w:val="both"/>
        <w:rPr>
          <w:rFonts w:ascii="Times New Roman" w:hAnsi="Times New Roman" w:eastAsia="TimesNewRomanPSMT" w:cs="Times New Roman"/>
          <w:b/>
          <w:bCs/>
          <w:color w:val="000000" w:themeColor="text1"/>
          <w:szCs w:val="24"/>
          <w:lang w:val="ru-RU"/>
          <w14:textFill>
            <w14:solidFill>
              <w14:schemeClr w14:val="tx1"/>
            </w14:solidFill>
          </w14:textFill>
        </w:rPr>
      </w:pPr>
      <w:r>
        <w:rPr>
          <w:rFonts w:ascii="Times New Roman" w:hAnsi="Times New Roman" w:eastAsia="TimesNewRomanPSMT" w:cs="Times New Roman"/>
          <w:color w:val="000000" w:themeColor="text1"/>
          <w:szCs w:val="24"/>
          <w:lang w:val="ru-RU"/>
          <w14:textFill>
            <w14:solidFill>
              <w14:schemeClr w14:val="tx1"/>
            </w14:solidFill>
          </w14:textFill>
        </w:rPr>
        <w:t xml:space="preserve">На основании критериев, указанных с таблице, </w:t>
      </w:r>
      <w:r>
        <w:rPr>
          <w:rFonts w:ascii="Times New Roman" w:hAnsi="Times New Roman" w:eastAsia="TimesNewRomanPSMT" w:cs="Times New Roman"/>
          <w:color w:val="000000" w:themeColor="text1"/>
          <w:szCs w:val="24"/>
          <w14:textFill>
            <w14:solidFill>
              <w14:schemeClr w14:val="tx1"/>
            </w14:solidFill>
          </w14:textFill>
        </w:rPr>
        <w:t>Chiaffarino</w:t>
      </w:r>
      <w:r>
        <w:rPr>
          <w:rFonts w:ascii="Times New Roman" w:hAnsi="Times New Roman" w:eastAsia="TimesNewRomanPSMT" w:cs="Times New Roman"/>
          <w:color w:val="000000" w:themeColor="text1"/>
          <w:szCs w:val="24"/>
          <w:lang w:val="ru-RU"/>
          <w14:textFill>
            <w14:solidFill>
              <w14:schemeClr w14:val="tx1"/>
            </w14:solidFill>
          </w14:textFill>
        </w:rPr>
        <w:t xml:space="preserve"> </w:t>
      </w:r>
      <w:r>
        <w:rPr>
          <w:rFonts w:ascii="Times New Roman" w:hAnsi="Times New Roman" w:eastAsia="TimesNewRomanPSMT" w:cs="Times New Roman"/>
          <w:color w:val="000000" w:themeColor="text1"/>
          <w:szCs w:val="24"/>
          <w14:textFill>
            <w14:solidFill>
              <w14:schemeClr w14:val="tx1"/>
            </w14:solidFill>
          </w14:textFill>
        </w:rPr>
        <w:t>F</w:t>
      </w:r>
      <w:r>
        <w:rPr>
          <w:rFonts w:ascii="Times New Roman" w:hAnsi="Times New Roman" w:eastAsia="TimesNewRomanPSMT" w:cs="Times New Roman"/>
          <w:color w:val="000000" w:themeColor="text1"/>
          <w:szCs w:val="24"/>
          <w:lang w:val="ru-RU"/>
          <w14:textFill>
            <w14:solidFill>
              <w14:schemeClr w14:val="tx1"/>
            </w14:solidFill>
          </w14:textFill>
        </w:rPr>
        <w:t xml:space="preserve">. и соавт (2022) приводят следующие данные распространения СПКЯ по указанным критериям: </w:t>
      </w:r>
      <w:r>
        <w:rPr>
          <w:rFonts w:ascii="Times New Roman" w:hAnsi="Times New Roman" w:eastAsia="TimesNewRomanPSMT" w:cs="Times New Roman"/>
          <w:color w:val="000000" w:themeColor="text1"/>
          <w:szCs w:val="24"/>
          <w14:textFill>
            <w14:solidFill>
              <w14:schemeClr w14:val="tx1"/>
            </w14:solidFill>
          </w14:textFill>
        </w:rPr>
        <w:t>NIH</w:t>
      </w:r>
      <w:r>
        <w:rPr>
          <w:rFonts w:ascii="Times New Roman" w:hAnsi="Times New Roman" w:eastAsia="TimesNewRomanPSMT" w:cs="Times New Roman"/>
          <w:color w:val="000000" w:themeColor="text1"/>
          <w:szCs w:val="24"/>
          <w:lang w:val="ru-RU"/>
          <w14:textFill>
            <w14:solidFill>
              <w14:schemeClr w14:val="tx1"/>
            </w14:solidFill>
          </w14:textFill>
        </w:rPr>
        <w:t xml:space="preserve"> (1990) - 6.2 % (95%</w:t>
      </w:r>
      <w:r>
        <w:rPr>
          <w:rFonts w:ascii="Times New Roman" w:hAnsi="Times New Roman" w:eastAsia="TimesNewRomanPSMT" w:cs="Times New Roman"/>
          <w:color w:val="000000" w:themeColor="text1"/>
          <w:szCs w:val="24"/>
          <w14:textFill>
            <w14:solidFill>
              <w14:schemeClr w14:val="tx1"/>
            </w14:solidFill>
          </w14:textFill>
        </w:rPr>
        <w:t>CI</w:t>
      </w:r>
      <w:r>
        <w:rPr>
          <w:rFonts w:ascii="Times New Roman" w:hAnsi="Times New Roman" w:eastAsia="TimesNewRomanPSMT" w:cs="Times New Roman"/>
          <w:color w:val="000000" w:themeColor="text1"/>
          <w:szCs w:val="24"/>
          <w:lang w:val="ru-RU"/>
          <w14:textFill>
            <w14:solidFill>
              <w14:schemeClr w14:val="tx1"/>
            </w14:solidFill>
          </w14:textFill>
        </w:rPr>
        <w:t xml:space="preserve"> 5.3–7.0), Роттердамские критерии (2003) - 19.5 % (95%</w:t>
      </w:r>
      <w:r>
        <w:rPr>
          <w:rFonts w:ascii="Times New Roman" w:hAnsi="Times New Roman" w:eastAsia="TimesNewRomanPSMT" w:cs="Times New Roman"/>
          <w:color w:val="000000" w:themeColor="text1"/>
          <w:szCs w:val="24"/>
          <w14:textFill>
            <w14:solidFill>
              <w14:schemeClr w14:val="tx1"/>
            </w14:solidFill>
          </w14:textFill>
        </w:rPr>
        <w:t>CI</w:t>
      </w:r>
      <w:r>
        <w:rPr>
          <w:rFonts w:ascii="Times New Roman" w:hAnsi="Times New Roman" w:eastAsia="TimesNewRomanPSMT" w:cs="Times New Roman"/>
          <w:color w:val="000000" w:themeColor="text1"/>
          <w:szCs w:val="24"/>
          <w:lang w:val="ru-RU"/>
          <w14:textFill>
            <w14:solidFill>
              <w14:schemeClr w14:val="tx1"/>
            </w14:solidFill>
          </w14:textFill>
        </w:rPr>
        <w:t xml:space="preserve"> 17.3–21.6), Общество по гиперандрогенемиям и СПКЯ (2006) - 15.0 % (95%</w:t>
      </w:r>
      <w:r>
        <w:rPr>
          <w:rFonts w:ascii="Times New Roman" w:hAnsi="Times New Roman" w:eastAsia="TimesNewRomanPSMT" w:cs="Times New Roman"/>
          <w:color w:val="000000" w:themeColor="text1"/>
          <w:szCs w:val="24"/>
          <w14:textFill>
            <w14:solidFill>
              <w14:schemeClr w14:val="tx1"/>
            </w14:solidFill>
          </w14:textFill>
        </w:rPr>
        <w:t>CI</w:t>
      </w:r>
      <w:r>
        <w:rPr>
          <w:rFonts w:ascii="Times New Roman" w:hAnsi="Times New Roman" w:eastAsia="TimesNewRomanPSMT" w:cs="Times New Roman"/>
          <w:color w:val="000000" w:themeColor="text1"/>
          <w:szCs w:val="24"/>
          <w:lang w:val="ru-RU"/>
          <w14:textFill>
            <w14:solidFill>
              <w14:schemeClr w14:val="tx1"/>
            </w14:solidFill>
          </w14:textFill>
        </w:rPr>
        <w:t xml:space="preserve"> 12.9–17.1)[3,4,7,9]. При этом следует исключить другие возможные сопутствующие заболевания: опухоли яичников или андроген секретирующие опухоли надпочечников, заболевания щитовидной железы, гиперпролактинемия, неклассическая врожденная гиперплазия надпочечников. Благодаря критериям </w:t>
      </w:r>
      <w:r>
        <w:rPr>
          <w:rFonts w:ascii="Times New Roman" w:hAnsi="Times New Roman" w:eastAsia="TimesNewRomanPSMT" w:cs="Times New Roman"/>
          <w:color w:val="000000" w:themeColor="text1"/>
          <w:szCs w:val="24"/>
          <w14:textFill>
            <w14:solidFill>
              <w14:schemeClr w14:val="tx1"/>
            </w14:solidFill>
          </w14:textFill>
        </w:rPr>
        <w:t>NIH</w:t>
      </w:r>
      <w:r>
        <w:rPr>
          <w:rFonts w:ascii="Times New Roman" w:hAnsi="Times New Roman" w:eastAsia="TimesNewRomanPSMT" w:cs="Times New Roman"/>
          <w:color w:val="000000" w:themeColor="text1"/>
          <w:szCs w:val="24"/>
          <w:lang w:val="ru-RU"/>
          <w14:textFill>
            <w14:solidFill>
              <w14:schemeClr w14:val="tx1"/>
            </w14:solidFill>
          </w14:textFill>
        </w:rPr>
        <w:t xml:space="preserve">/ </w:t>
      </w:r>
      <w:r>
        <w:rPr>
          <w:rFonts w:ascii="Times New Roman" w:hAnsi="Times New Roman" w:eastAsia="TimesNewRomanPSMT" w:cs="Times New Roman"/>
          <w:color w:val="000000" w:themeColor="text1"/>
          <w:szCs w:val="24"/>
          <w14:textFill>
            <w14:solidFill>
              <w14:schemeClr w14:val="tx1"/>
            </w14:solidFill>
          </w14:textFill>
        </w:rPr>
        <w:t>NICHD</w:t>
      </w:r>
      <w:r>
        <w:rPr>
          <w:rFonts w:ascii="Times New Roman" w:hAnsi="Times New Roman" w:eastAsia="TimesNewRomanPSMT" w:cs="Times New Roman"/>
          <w:color w:val="000000" w:themeColor="text1"/>
          <w:szCs w:val="24"/>
          <w:lang w:val="ru-RU"/>
          <w14:textFill>
            <w14:solidFill>
              <w14:schemeClr w14:val="tx1"/>
            </w14:solidFill>
          </w14:textFill>
        </w:rPr>
        <w:t xml:space="preserve"> удалось выявить высокую распространенность этого расстройства – 10-13%, а по некоторым данным до 70% у женщин с гирсутизмом и до 30,5% у женщин с нарушениями менструального цикла и высокую частоту инсулинорезистентности с повышенным риском развития сахарного диабета 2-го типа, который часто сопровождал этот синдром [4,5]. Расширение диагностических критериев привело к появлению большого объема исследований, оценивающих и сравнивающих фенотипы СПКЯ. Обычно выделяют три основных фенотипа: а) женщины с гирсутизмом, гиперандрогенемией и олиго-овуляцией; б) женщины с гирсутизмом и олиго-овуляцией; в) женщины с гиперандрогенемией и олиго-овуляцией. Неспособность исследовать точно определенные фенотипы СПКЯ привела к путанице в литературе, поскольку метаболические особенности синдрома варьируют в зависимости от фенотипа. Основываясь на этом вопросе, </w:t>
      </w:r>
      <w:r>
        <w:rPr>
          <w:rFonts w:ascii="Times New Roman" w:hAnsi="Times New Roman" w:eastAsia="TimesNewRomanPSMT" w:cs="Times New Roman"/>
          <w:color w:val="000000" w:themeColor="text1"/>
          <w:szCs w:val="24"/>
          <w14:textFill>
            <w14:solidFill>
              <w14:schemeClr w14:val="tx1"/>
            </w14:solidFill>
          </w14:textFill>
        </w:rPr>
        <w:t>Dunaif</w:t>
      </w:r>
      <w:r>
        <w:rPr>
          <w:rFonts w:ascii="Times New Roman" w:hAnsi="Times New Roman" w:eastAsia="TimesNewRomanPSMT" w:cs="Times New Roman"/>
          <w:color w:val="000000" w:themeColor="text1"/>
          <w:szCs w:val="24"/>
          <w:lang w:val="ru-RU"/>
          <w14:textFill>
            <w14:solidFill>
              <w14:schemeClr w14:val="tx1"/>
            </w14:solidFill>
          </w14:textFill>
        </w:rPr>
        <w:t xml:space="preserve"> </w:t>
      </w:r>
      <w:r>
        <w:rPr>
          <w:rFonts w:ascii="Times New Roman" w:hAnsi="Times New Roman" w:eastAsia="TimesNewRomanPSMT" w:cs="Times New Roman"/>
          <w:color w:val="000000" w:themeColor="text1"/>
          <w:szCs w:val="24"/>
          <w14:textFill>
            <w14:solidFill>
              <w14:schemeClr w14:val="tx1"/>
            </w14:solidFill>
          </w14:textFill>
        </w:rPr>
        <w:t>A</w:t>
      </w:r>
      <w:r>
        <w:rPr>
          <w:rFonts w:ascii="Times New Roman" w:hAnsi="Times New Roman" w:eastAsia="TimesNewRomanPSMT" w:cs="Times New Roman"/>
          <w:color w:val="000000" w:themeColor="text1"/>
          <w:szCs w:val="24"/>
          <w:lang w:val="ru-RU"/>
          <w14:textFill>
            <w14:solidFill>
              <w14:schemeClr w14:val="tx1"/>
            </w14:solidFill>
          </w14:textFill>
        </w:rPr>
        <w:t xml:space="preserve"> и соавт (2013) смело предложили разделить синдром на метаболический фенотип и репродуктивный фенотип [3,7,9]. Основная дискуссия, вызванная этими критериями, была связана с тем, что поликистозная морфология яичников (ПКМЯ) очень часто ассоциировала с гирсутизмом и гиперандрогенемией у женщин с регулярными овуляторными циклами [5,7,9]. Это объясняется тем, что ановуляция не обязательно является хронической, и что прерывистые или даже продолжительные эпизоды регулярных овуляторных циклов могут нарушать картину ановуляторного цикла или аменореи. 2. Критерии </w:t>
      </w:r>
      <w:r>
        <w:rPr>
          <w:rFonts w:ascii="Times New Roman" w:hAnsi="Times New Roman" w:eastAsia="TimesNewRomanPSMT" w:cs="Times New Roman"/>
          <w:color w:val="000000" w:themeColor="text1"/>
          <w:szCs w:val="24"/>
          <w14:textFill>
            <w14:solidFill>
              <w14:schemeClr w14:val="tx1"/>
            </w14:solidFill>
          </w14:textFill>
        </w:rPr>
        <w:t>ESHRE</w:t>
      </w:r>
      <w:r>
        <w:rPr>
          <w:rFonts w:ascii="Times New Roman" w:hAnsi="Times New Roman" w:eastAsia="TimesNewRomanPSMT" w:cs="Times New Roman"/>
          <w:color w:val="000000" w:themeColor="text1"/>
          <w:szCs w:val="24"/>
          <w:lang w:val="ru-RU"/>
          <w14:textFill>
            <w14:solidFill>
              <w14:schemeClr w14:val="tx1"/>
            </w14:solidFill>
          </w14:textFill>
        </w:rPr>
        <w:t>/</w:t>
      </w:r>
      <w:r>
        <w:rPr>
          <w:rFonts w:ascii="Times New Roman" w:hAnsi="Times New Roman" w:eastAsia="TimesNewRomanPSMT" w:cs="Times New Roman"/>
          <w:color w:val="000000" w:themeColor="text1"/>
          <w:szCs w:val="24"/>
          <w14:textFill>
            <w14:solidFill>
              <w14:schemeClr w14:val="tx1"/>
            </w14:solidFill>
          </w14:textFill>
        </w:rPr>
        <w:t>ASRM</w:t>
      </w:r>
      <w:r>
        <w:rPr>
          <w:rFonts w:ascii="Times New Roman" w:hAnsi="Times New Roman" w:eastAsia="TimesNewRomanPSMT" w:cs="Times New Roman"/>
          <w:color w:val="000000" w:themeColor="text1"/>
          <w:szCs w:val="24"/>
          <w:lang w:val="ru-RU"/>
          <w14:textFill>
            <w14:solidFill>
              <w14:schemeClr w14:val="tx1"/>
            </w14:solidFill>
          </w14:textFill>
        </w:rPr>
        <w:t xml:space="preserve"> Растущая проблема включения овулирующих женщин с ПКМЯ и гиперандрогенией в определение СПКЯ была одним из основных факторов, определивших необходимость проведения совещания экспертов </w:t>
      </w:r>
      <w:r>
        <w:rPr>
          <w:rFonts w:ascii="Times New Roman" w:hAnsi="Times New Roman" w:eastAsia="TimesNewRomanPSMT" w:cs="Times New Roman"/>
          <w:color w:val="000000" w:themeColor="text1"/>
          <w:szCs w:val="24"/>
          <w14:textFill>
            <w14:solidFill>
              <w14:schemeClr w14:val="tx1"/>
            </w14:solidFill>
          </w14:textFill>
        </w:rPr>
        <w:t>ESHRE</w:t>
      </w:r>
      <w:r>
        <w:rPr>
          <w:rFonts w:ascii="Times New Roman" w:hAnsi="Times New Roman" w:eastAsia="TimesNewRomanPSMT" w:cs="Times New Roman"/>
          <w:color w:val="000000" w:themeColor="text1"/>
          <w:szCs w:val="24"/>
          <w:lang w:val="ru-RU"/>
          <w14:textFill>
            <w14:solidFill>
              <w14:schemeClr w14:val="tx1"/>
            </w14:solidFill>
          </w14:textFill>
        </w:rPr>
        <w:t>/</w:t>
      </w:r>
      <w:r>
        <w:rPr>
          <w:rFonts w:ascii="Times New Roman" w:hAnsi="Times New Roman" w:eastAsia="TimesNewRomanPSMT" w:cs="Times New Roman"/>
          <w:color w:val="000000" w:themeColor="text1"/>
          <w:szCs w:val="24"/>
          <w14:textFill>
            <w14:solidFill>
              <w14:schemeClr w14:val="tx1"/>
            </w14:solidFill>
          </w14:textFill>
        </w:rPr>
        <w:t>ASRM</w:t>
      </w:r>
      <w:r>
        <w:rPr>
          <w:rFonts w:ascii="Times New Roman" w:hAnsi="Times New Roman" w:eastAsia="TimesNewRomanPSMT" w:cs="Times New Roman"/>
          <w:color w:val="000000" w:themeColor="text1"/>
          <w:szCs w:val="24"/>
          <w:lang w:val="ru-RU"/>
          <w14:textFill>
            <w14:solidFill>
              <w14:schemeClr w14:val="tx1"/>
            </w14:solidFill>
          </w14:textFill>
        </w:rPr>
        <w:t xml:space="preserve">. Эта конференция экспертов по СПКЯ была созвана в Роттердаме, Нидерланды, 1-3 мая 2003 года [6,8] Участники совещания рекомендовали определять СПКЯ при наличии по меньшей мере двух из следующих трех признаков: 1) олиго - и/или ановуляция, 2) клинические и/или биохимические признаки гиперандрогении и 3) ПКМЯ. Эти критерии еще раз подчеркивают, что СПКЯ является диагнозом исключения (таблица 2). </w:t>
      </w:r>
      <w:r>
        <w:rPr>
          <w:rFonts w:ascii="Times New Roman" w:hAnsi="Times New Roman" w:eastAsia="TimesNewRomanPSMT" w:cs="Times New Roman"/>
          <w:b/>
          <w:bCs/>
          <w:color w:val="000000" w:themeColor="text1"/>
          <w:szCs w:val="24"/>
          <w:lang w:val="ru-RU"/>
          <w14:textFill>
            <w14:solidFill>
              <w14:schemeClr w14:val="tx1"/>
            </w14:solidFill>
          </w14:textFill>
        </w:rPr>
        <w:t xml:space="preserve">Таблица 2. </w:t>
      </w:r>
    </w:p>
    <w:p w14:paraId="5A59FB0E">
      <w:pPr>
        <w:autoSpaceDE w:val="0"/>
        <w:autoSpaceDN w:val="0"/>
        <w:adjustRightInd w:val="0"/>
        <w:spacing w:after="0" w:line="240" w:lineRule="auto"/>
        <w:ind w:firstLine="709"/>
        <w:jc w:val="both"/>
        <w:rPr>
          <w:rFonts w:ascii="Times New Roman" w:hAnsi="Times New Roman" w:eastAsia="TimesNewRomanPSMT" w:cs="Times New Roman"/>
          <w:b/>
          <w:bCs/>
          <w:color w:val="000000" w:themeColor="text1"/>
          <w:szCs w:val="24"/>
          <w:lang w:val="ru-RU"/>
          <w14:textFill>
            <w14:solidFill>
              <w14:schemeClr w14:val="tx1"/>
            </w14:solidFill>
          </w14:textFill>
        </w:rPr>
      </w:pPr>
      <w:r>
        <w:rPr>
          <w:rFonts w:ascii="Times New Roman" w:hAnsi="Times New Roman" w:eastAsia="TimesNewRomanPSMT" w:cs="Times New Roman"/>
          <w:b/>
          <w:bCs/>
          <w:color w:val="000000" w:themeColor="text1"/>
          <w:szCs w:val="24"/>
          <w:lang w:val="ru-RU"/>
          <w14:textFill>
            <w14:solidFill>
              <w14:schemeClr w14:val="tx1"/>
            </w14:solidFill>
          </w14:textFill>
        </w:rPr>
        <w:t>Ультразвковые характеристики яичников, предложенные в Роттердамском консенсусе 2003 года для диагностики ПКМЯ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38CE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2" w:type="dxa"/>
            <w:tcBorders>
              <w:bottom w:val="single" w:color="auto" w:sz="4" w:space="0"/>
            </w:tcBorders>
            <w:shd w:val="clear" w:color="auto" w:fill="B8CCE4" w:themeFill="accent1" w:themeFillTint="66"/>
          </w:tcPr>
          <w:p w14:paraId="49013A80">
            <w:pPr>
              <w:spacing w:after="0" w:line="240" w:lineRule="auto"/>
              <w:ind w:firstLine="709"/>
              <w:rPr>
                <w:rFonts w:ascii="Times New Roman" w:hAnsi="Times New Roman" w:cs="Times New Roman"/>
                <w:color w:val="000000" w:themeColor="text1"/>
                <w:szCs w:val="24"/>
                <w:lang w:val="ru-RU"/>
                <w14:textFill>
                  <w14:solidFill>
                    <w14:schemeClr w14:val="tx1"/>
                  </w14:solidFill>
                </w14:textFill>
              </w:rPr>
            </w:pPr>
          </w:p>
        </w:tc>
        <w:tc>
          <w:tcPr>
            <w:tcW w:w="4672" w:type="dxa"/>
            <w:tcBorders>
              <w:bottom w:val="single" w:color="auto" w:sz="4" w:space="0"/>
            </w:tcBorders>
            <w:shd w:val="clear" w:color="auto" w:fill="B8CCE4" w:themeFill="accent1" w:themeFillTint="66"/>
          </w:tcPr>
          <w:p w14:paraId="4F2E285A">
            <w:pPr>
              <w:tabs>
                <w:tab w:val="left" w:pos="945"/>
              </w:tabs>
              <w:spacing w:after="0" w:line="240" w:lineRule="auto"/>
              <w:ind w:firstLine="709"/>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Роттердамские критерии (2003)</w:t>
            </w:r>
          </w:p>
        </w:tc>
      </w:tr>
      <w:tr w14:paraId="476E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Borders>
              <w:top w:val="single" w:color="auto" w:sz="4" w:space="0"/>
              <w:left w:val="single" w:color="auto" w:sz="4" w:space="0"/>
              <w:bottom w:val="single" w:color="auto" w:sz="4" w:space="0"/>
              <w:right w:val="single" w:color="auto" w:sz="4" w:space="0"/>
            </w:tcBorders>
            <w:shd w:val="clear" w:color="auto" w:fill="C6D9F0" w:themeFill="text2" w:themeFillTint="33"/>
          </w:tcPr>
          <w:p w14:paraId="71D1CFBC">
            <w:pPr>
              <w:spacing w:after="0" w:line="240" w:lineRule="auto"/>
              <w:ind w:firstLine="709"/>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Количество фолликулов</w:t>
            </w:r>
          </w:p>
        </w:tc>
        <w:tc>
          <w:tcPr>
            <w:tcW w:w="4672" w:type="dxa"/>
            <w:tcBorders>
              <w:top w:val="single" w:color="auto" w:sz="4" w:space="0"/>
              <w:left w:val="single" w:color="auto" w:sz="4" w:space="0"/>
              <w:bottom w:val="single" w:color="auto" w:sz="4" w:space="0"/>
              <w:right w:val="single" w:color="auto" w:sz="4" w:space="0"/>
            </w:tcBorders>
            <w:shd w:val="clear" w:color="auto" w:fill="C6D9F0" w:themeFill="text2" w:themeFillTint="33"/>
          </w:tcPr>
          <w:p w14:paraId="191B4D38">
            <w:pPr>
              <w:spacing w:after="0" w:line="240" w:lineRule="auto"/>
              <w:ind w:firstLine="709"/>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&gt;12 фолликулов</w:t>
            </w:r>
          </w:p>
        </w:tc>
      </w:tr>
      <w:tr w14:paraId="0518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Borders>
              <w:top w:val="single" w:color="auto" w:sz="4" w:space="0"/>
              <w:left w:val="single" w:color="auto" w:sz="4" w:space="0"/>
              <w:bottom w:val="single" w:color="auto" w:sz="4" w:space="0"/>
              <w:right w:val="single" w:color="auto" w:sz="4" w:space="0"/>
            </w:tcBorders>
            <w:shd w:val="clear" w:color="auto" w:fill="C6D9F0" w:themeFill="text2" w:themeFillTint="33"/>
          </w:tcPr>
          <w:p w14:paraId="6739FAEC">
            <w:pPr>
              <w:spacing w:after="0" w:line="240" w:lineRule="auto"/>
              <w:ind w:firstLine="709"/>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Размеры фолликулов</w:t>
            </w:r>
          </w:p>
        </w:tc>
        <w:tc>
          <w:tcPr>
            <w:tcW w:w="4672" w:type="dxa"/>
            <w:tcBorders>
              <w:top w:val="single" w:color="auto" w:sz="4" w:space="0"/>
              <w:left w:val="single" w:color="auto" w:sz="4" w:space="0"/>
              <w:bottom w:val="single" w:color="auto" w:sz="4" w:space="0"/>
              <w:right w:val="single" w:color="auto" w:sz="4" w:space="0"/>
            </w:tcBorders>
            <w:shd w:val="clear" w:color="auto" w:fill="C6D9F0" w:themeFill="text2" w:themeFillTint="33"/>
          </w:tcPr>
          <w:p w14:paraId="365C1184">
            <w:pPr>
              <w:spacing w:after="0" w:line="240" w:lineRule="auto"/>
              <w:ind w:firstLine="709"/>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2–9 мм в диаметре</w:t>
            </w:r>
          </w:p>
        </w:tc>
      </w:tr>
      <w:tr w14:paraId="0BCB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Borders>
              <w:top w:val="single" w:color="auto" w:sz="4" w:space="0"/>
              <w:left w:val="single" w:color="auto" w:sz="4" w:space="0"/>
              <w:bottom w:val="single" w:color="auto" w:sz="4" w:space="0"/>
              <w:right w:val="single" w:color="auto" w:sz="4" w:space="0"/>
            </w:tcBorders>
            <w:shd w:val="clear" w:color="auto" w:fill="C6D9F0" w:themeFill="text2" w:themeFillTint="33"/>
          </w:tcPr>
          <w:p w14:paraId="23FE70B4">
            <w:pPr>
              <w:spacing w:after="0" w:line="240" w:lineRule="auto"/>
              <w:ind w:firstLine="709"/>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Размер яичника</w:t>
            </w:r>
          </w:p>
        </w:tc>
        <w:tc>
          <w:tcPr>
            <w:tcW w:w="4672" w:type="dxa"/>
            <w:tcBorders>
              <w:top w:val="single" w:color="auto" w:sz="4" w:space="0"/>
              <w:left w:val="single" w:color="auto" w:sz="4" w:space="0"/>
              <w:bottom w:val="single" w:color="auto" w:sz="4" w:space="0"/>
              <w:right w:val="single" w:color="auto" w:sz="4" w:space="0"/>
            </w:tcBorders>
            <w:shd w:val="clear" w:color="auto" w:fill="C6D9F0" w:themeFill="text2" w:themeFillTint="33"/>
          </w:tcPr>
          <w:p w14:paraId="733678F6">
            <w:pPr>
              <w:spacing w:after="0" w:line="240" w:lineRule="auto"/>
              <w:ind w:firstLine="709"/>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&gt;10 мл</w:t>
            </w:r>
            <w:r>
              <w:rPr>
                <w:rFonts w:ascii="Times New Roman" w:hAnsi="Times New Roman" w:cs="Times New Roman"/>
                <w:color w:val="000000" w:themeColor="text1"/>
                <w:szCs w:val="24"/>
                <w:vertAlign w:val="superscript"/>
                <w14:textFill>
                  <w14:solidFill>
                    <w14:schemeClr w14:val="tx1"/>
                  </w14:solidFill>
                </w14:textFill>
              </w:rPr>
              <w:t>3</w:t>
            </w:r>
          </w:p>
        </w:tc>
      </w:tr>
    </w:tbl>
    <w:p w14:paraId="16DA7A41">
      <w:pPr>
        <w:autoSpaceDE w:val="0"/>
        <w:autoSpaceDN w:val="0"/>
        <w:adjustRightInd w:val="0"/>
        <w:spacing w:after="0" w:line="240" w:lineRule="auto"/>
        <w:ind w:firstLine="709"/>
        <w:jc w:val="both"/>
        <w:rPr>
          <w:rFonts w:ascii="Times New Roman" w:hAnsi="Times New Roman" w:eastAsia="TimesNewRomanPSMT" w:cs="Times New Roman"/>
          <w:b/>
          <w:bCs/>
          <w:color w:val="000000" w:themeColor="text1"/>
          <w:szCs w:val="24"/>
          <w:lang w:val="en-US"/>
          <w14:textFill>
            <w14:solidFill>
              <w14:schemeClr w14:val="tx1"/>
            </w14:solidFill>
          </w14:textFill>
        </w:rPr>
      </w:pPr>
    </w:p>
    <w:p w14:paraId="5690D7D8">
      <w:pPr>
        <w:pStyle w:val="30"/>
        <w:jc w:val="both"/>
        <w:rPr>
          <w:rFonts w:eastAsia="TimesNewRomanPSMT"/>
        </w:rPr>
      </w:pPr>
      <w:r>
        <w:rPr>
          <w:rFonts w:eastAsia="TimesNewRomanPSMT"/>
        </w:rPr>
        <w:t>К ПКМЯ, определяемым Роттердамскими критериями 2003 года, относятся: наличие по меньшей мере одного яичника с 12 или более фолликулами диаметром 2-9 мм, независимо от их расположения, и/или общим объемом &gt; 10 мл3, определяемые трансвагинальным ультразвуковым исследованием (таблица 2). Начало использования трехмерной сонографии позволяет оценить объем яичника и количество фолликулов в яичниках. Используя разницу между этими двумя параметрами, можно оценить объем стромы яичника. Роттердамские критерии 2003 года добавили два новых фенотипа СПКЯ, а именно пациентов с ПКМЯ, гирсутизмом и/или гиперандрогенемией, но имеющих нормальную овуляцию, и женщин с ПКМЯ и нерегулярной овуляцией, но без признаков избытка андрогенов [8,9,11] Как следствие принятия этих двух фенотипов, Роттердамские критерии 2003 года увеличивают фенотипическую гетерогенность синдрома, тем самым снижая способность генетических и других молекулярных исследований выявлять общую аномалию, лежащую в основе синдрома. Однако, обнаружение ПКМЯ может предсказать реакцию на индукцию овуляции, поскольку женщины с такой морфологией яичников более чувствительны к стимуляции гонадотропинами, чем женщины без ПКМЯ[8,9,14] Была обнаружена положительная корреляция между уровнем антимюллерова гормона (АМГ) и количеством мелких фолликулов, а также объемом яичников. Результаты опубликованных исследований показали, что уровень АМГ выше у пациентов с СПКЯ, что может быть полезно при дифференциальной диагностике этого синдрома [8,9,14]. Для диагностики СПКЯ было предложено пороговое значение АМГ 20 пмоль/л [6,8,11,15] Кроме того, было также показано, что существует корреляция между более высокой концентрацией АМГ, редкими менструациями и гиперандрогенией. Однако из-за использования различных методов анализа уровня АМГ в плазме крови трудно сравнивать предыдущие исследования и определять пороговые значения для пациентов с СПКЯ. 3. Критерии Общества по гиперандрогенемиям и СПКЯ (2006) Самые последние критерии были определены целевой группой Общества по гиперандрогенемиям и СПКЯ (AE-PCOS) в 2006 году, которая рекомендовала следующие диагностические критерии для СПКЯ: 1) гирсутизм и/или гиперандрогенемия, 2) олиго-овуляция и/или ПКМЯ и 3) исключение других патологий с избыточным количеством андрогенов или связанных с ними нарушений [5,9,14,15]. В этом определении овулирующие женщины с гирсутизмом и / или гиперандрогенемией и ПКМЯ определяются как имеющие СПКЯ из-за повышенного риска метаболическх дисфункций, хотя и меньшего, чем у пациентов с СПКЯ. Однако, критерии AE-PCOS не включают пациентов, у которых определяется только овуляторная дисфункция и поликистоз яичников на УЗИ, без доказательств избытка андрогенов. Критерии AE-PCOS (2006) идентифицируют лиц с СПКЯ, которые имеют повышенный риск метаболической дисфункции, хотя и меньше, чем критерии NIH 1990 года. Недостатки по диагностике и перспективы на будущее. Основным недостатком современных рекомендаций по диагностике СПКЯ является то, что они рассматривают синдром только с точки зрения нарушений фертильности и косметических нарушений без упоминания о долгосрочных рисках [8,9,11,12]. Экспертная группа совещания по доказательной методологии NIH 2012 года по СПКЯ рекомендовала клиницистам использовать для диагностики более поздние Роттердамские критерии. Следовательно, распространенность СПКЯ удвоилась после начала применения более широких Роттердамских критериев. Оценка состояния женщин с СПКЯ должна исключать альтернативные нарушения - избыток андрогенов и факторы риска развития рака эндометрия, расстройства настроения, обструктивное апноэ во время сна, сахарный диабет и сердечнососудистые заболевания [9,10,12] Европейское общество эндокринологии предложило внедрить диагностические критерии СПКЯ с использованием новых биомаркеров избытка андрогенов и дисфункции яичников и, в частности, разработать более объективный метод определения и количественной оценки гирсутизма в различных частях тела.</w:t>
      </w:r>
    </w:p>
    <w:p w14:paraId="0DB55735">
      <w:pPr>
        <w:autoSpaceDE w:val="0"/>
        <w:autoSpaceDN w:val="0"/>
        <w:adjustRightInd w:val="0"/>
        <w:spacing w:after="0" w:line="240" w:lineRule="auto"/>
        <w:ind w:firstLine="709"/>
        <w:jc w:val="both"/>
        <w:rPr>
          <w:rFonts w:ascii="Times New Roman" w:hAnsi="Times New Roman" w:eastAsia="TimesNewRomanPSMT" w:cs="Times New Roman"/>
          <w:color w:val="000000" w:themeColor="text1"/>
          <w:szCs w:val="24"/>
          <w:lang w:val="uz-Latn-UZ"/>
          <w14:textFill>
            <w14:solidFill>
              <w14:schemeClr w14:val="tx1"/>
            </w14:solidFill>
          </w14:textFill>
        </w:rPr>
      </w:pPr>
      <w:r>
        <w:rPr>
          <w:rFonts w:ascii="Times New Roman" w:hAnsi="Times New Roman" w:eastAsia="TimesNewRomanPSMT" w:cs="Times New Roman"/>
          <w:color w:val="000000" w:themeColor="text1"/>
          <w:szCs w:val="24"/>
          <w:lang w:val="ru-RU"/>
          <w14:textFill>
            <w14:solidFill>
              <w14:schemeClr w14:val="tx1"/>
            </w14:solidFill>
          </w14:textFill>
        </w:rPr>
        <w:t>Таким образом, несмотря на то, что точная этиология ановуляции при СПКЯ еще не определена, различные факторы риска, описанные выше, в частности, роль АМГ, инсулин-резистентность, ожирение, гиперандрогения, восприимчивость эндометрия и качество ооцитов помогают нам понять характер овуляторных нарушений и определить параметры, на основе которых принимаются решения о лечении.</w:t>
      </w:r>
    </w:p>
    <w:p w14:paraId="00DF48A6">
      <w:pPr>
        <w:autoSpaceDE w:val="0"/>
        <w:autoSpaceDN w:val="0"/>
        <w:adjustRightInd w:val="0"/>
        <w:spacing w:after="0" w:line="240" w:lineRule="auto"/>
        <w:ind w:firstLine="709"/>
        <w:jc w:val="both"/>
        <w:rPr>
          <w:rFonts w:ascii="Times New Roman" w:hAnsi="Times New Roman" w:eastAsia="TimesNewRomanPSMT" w:cs="Times New Roman"/>
          <w:color w:val="000000" w:themeColor="text1"/>
          <w:szCs w:val="24"/>
          <w:lang w:val="uz-Latn-UZ"/>
          <w14:textFill>
            <w14:solidFill>
              <w14:schemeClr w14:val="tx1"/>
            </w14:solidFill>
          </w14:textFill>
        </w:rPr>
      </w:pPr>
    </w:p>
    <w:p w14:paraId="10F2CB38">
      <w:pPr>
        <w:autoSpaceDE w:val="0"/>
        <w:autoSpaceDN w:val="0"/>
        <w:adjustRightInd w:val="0"/>
        <w:spacing w:after="0" w:line="240" w:lineRule="auto"/>
        <w:ind w:firstLine="709"/>
        <w:jc w:val="both"/>
        <w:rPr>
          <w:rFonts w:ascii="Times New Roman" w:hAnsi="Times New Roman" w:eastAsia="TimesNewRomanPSMT" w:cs="Times New Roman"/>
          <w:b/>
          <w:bCs/>
          <w:color w:val="000000" w:themeColor="text1"/>
          <w:szCs w:val="24"/>
          <w14:textFill>
            <w14:solidFill>
              <w14:schemeClr w14:val="tx1"/>
            </w14:solidFill>
          </w14:textFill>
        </w:rPr>
      </w:pPr>
      <w:r>
        <w:rPr>
          <w:rFonts w:ascii="Times New Roman" w:hAnsi="Times New Roman" w:eastAsia="TimesNewRomanPSMT" w:cs="Times New Roman"/>
          <w:b/>
          <w:bCs/>
          <w:color w:val="000000" w:themeColor="text1"/>
          <w:szCs w:val="24"/>
          <w14:textFill>
            <w14:solidFill>
              <w14:schemeClr w14:val="tx1"/>
            </w14:solidFill>
          </w14:textFill>
        </w:rPr>
        <w:t>Литература:</w:t>
      </w:r>
    </w:p>
    <w:p w14:paraId="06BD62AE">
      <w:pPr>
        <w:pStyle w:val="17"/>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lang w:val="ru-RU"/>
          <w14:textFill>
            <w14:solidFill>
              <w14:schemeClr w14:val="tx1"/>
            </w14:solidFill>
          </w14:textFill>
        </w:rPr>
        <w:t>Али Р. М. и др. Генетические ассоциации между полиморфными локус</w:t>
      </w:r>
      <w:r>
        <w:rPr>
          <w:rFonts w:ascii="Times New Roman" w:hAnsi="Times New Roman" w:cs="Times New Roman"/>
          <w:color w:val="000000" w:themeColor="text1"/>
          <w:szCs w:val="24"/>
          <w:lang w:val="uz-Cyrl-UZ"/>
          <w14:textFill>
            <w14:solidFill>
              <w14:schemeClr w14:val="tx1"/>
            </w14:solidFill>
          </w14:textFill>
        </w:rPr>
        <w:t>ов</w:t>
      </w:r>
      <w:r>
        <w:rPr>
          <w:rFonts w:ascii="Times New Roman" w:hAnsi="Times New Roman" w:cs="Times New Roman"/>
          <w:color w:val="000000" w:themeColor="text1"/>
          <w:szCs w:val="24"/>
          <w:lang w:val="ru-RU"/>
          <w14:textFill>
            <w14:solidFill>
              <w14:schemeClr w14:val="tx1"/>
            </w14:solidFill>
          </w14:textFill>
        </w:rPr>
        <w:t xml:space="preserve"> генов ферментов антиоксидантной защиты </w:t>
      </w:r>
      <w:r>
        <w:rPr>
          <w:rFonts w:ascii="Times New Roman" w:hAnsi="Times New Roman" w:cs="Times New Roman"/>
          <w:color w:val="000000" w:themeColor="text1"/>
          <w:szCs w:val="24"/>
          <w:lang w:val="en-US"/>
          <w14:textFill>
            <w14:solidFill>
              <w14:schemeClr w14:val="tx1"/>
            </w14:solidFill>
          </w14:textFill>
        </w:rPr>
        <w:t>GPX</w:t>
      </w:r>
      <w:r>
        <w:rPr>
          <w:rFonts w:ascii="Times New Roman" w:hAnsi="Times New Roman" w:cs="Times New Roman"/>
          <w:color w:val="000000" w:themeColor="text1"/>
          <w:szCs w:val="24"/>
          <w:lang w:val="ru-RU"/>
          <w14:textFill>
            <w14:solidFill>
              <w14:schemeClr w14:val="tx1"/>
            </w14:solidFill>
          </w14:textFill>
        </w:rPr>
        <w:t>4 (</w:t>
      </w:r>
      <w:r>
        <w:rPr>
          <w:rFonts w:ascii="Times New Roman" w:hAnsi="Times New Roman" w:cs="Times New Roman"/>
          <w:color w:val="000000" w:themeColor="text1"/>
          <w:szCs w:val="24"/>
          <w:lang w:val="en-US"/>
          <w14:textFill>
            <w14:solidFill>
              <w14:schemeClr w14:val="tx1"/>
            </w14:solidFill>
          </w14:textFill>
        </w:rPr>
        <w:t>rs</w:t>
      </w:r>
      <w:r>
        <w:rPr>
          <w:rFonts w:ascii="Times New Roman" w:hAnsi="Times New Roman" w:cs="Times New Roman"/>
          <w:color w:val="000000" w:themeColor="text1"/>
          <w:szCs w:val="24"/>
          <w:lang w:val="ru-RU"/>
          <w14:textFill>
            <w14:solidFill>
              <w14:schemeClr w14:val="tx1"/>
            </w14:solidFill>
          </w14:textFill>
        </w:rPr>
        <w:t xml:space="preserve">713041), </w:t>
      </w:r>
      <w:r>
        <w:rPr>
          <w:rFonts w:ascii="Times New Roman" w:hAnsi="Times New Roman" w:cs="Times New Roman"/>
          <w:color w:val="000000" w:themeColor="text1"/>
          <w:szCs w:val="24"/>
          <w:lang w:val="en-US"/>
          <w14:textFill>
            <w14:solidFill>
              <w14:schemeClr w14:val="tx1"/>
            </w14:solidFill>
          </w14:textFill>
        </w:rPr>
        <w:t>GSTP</w:t>
      </w:r>
      <w:r>
        <w:rPr>
          <w:rFonts w:ascii="Times New Roman" w:hAnsi="Times New Roman" w:cs="Times New Roman"/>
          <w:color w:val="000000" w:themeColor="text1"/>
          <w:szCs w:val="24"/>
          <w:lang w:val="ru-RU"/>
          <w14:textFill>
            <w14:solidFill>
              <w14:schemeClr w14:val="tx1"/>
            </w14:solidFill>
          </w14:textFill>
        </w:rPr>
        <w:t>1 (</w:t>
      </w:r>
      <w:r>
        <w:rPr>
          <w:rFonts w:ascii="Times New Roman" w:hAnsi="Times New Roman" w:cs="Times New Roman"/>
          <w:color w:val="000000" w:themeColor="text1"/>
          <w:szCs w:val="24"/>
          <w:lang w:val="en-US"/>
          <w14:textFill>
            <w14:solidFill>
              <w14:schemeClr w14:val="tx1"/>
            </w14:solidFill>
          </w14:textFill>
        </w:rPr>
        <w:t>rs</w:t>
      </w:r>
      <w:r>
        <w:rPr>
          <w:rFonts w:ascii="Times New Roman" w:hAnsi="Times New Roman" w:cs="Times New Roman"/>
          <w:color w:val="000000" w:themeColor="text1"/>
          <w:szCs w:val="24"/>
          <w:lang w:val="ru-RU"/>
          <w14:textFill>
            <w14:solidFill>
              <w14:schemeClr w14:val="tx1"/>
            </w14:solidFill>
          </w14:textFill>
        </w:rPr>
        <w:t xml:space="preserve">1695) и </w:t>
      </w:r>
      <w:r>
        <w:rPr>
          <w:rFonts w:ascii="Times New Roman" w:hAnsi="Times New Roman" w:cs="Times New Roman"/>
          <w:color w:val="000000" w:themeColor="text1"/>
          <w:szCs w:val="24"/>
          <w:lang w:val="en-US"/>
          <w14:textFill>
            <w14:solidFill>
              <w14:schemeClr w14:val="tx1"/>
            </w14:solidFill>
          </w14:textFill>
        </w:rPr>
        <w:t>PON</w:t>
      </w:r>
      <w:r>
        <w:rPr>
          <w:rFonts w:ascii="Times New Roman" w:hAnsi="Times New Roman" w:cs="Times New Roman"/>
          <w:color w:val="000000" w:themeColor="text1"/>
          <w:szCs w:val="24"/>
          <w:lang w:val="ru-RU"/>
          <w14:textFill>
            <w14:solidFill>
              <w14:schemeClr w14:val="tx1"/>
            </w14:solidFill>
          </w14:textFill>
        </w:rPr>
        <w:t>1 (</w:t>
      </w:r>
      <w:r>
        <w:rPr>
          <w:rFonts w:ascii="Times New Roman" w:hAnsi="Times New Roman" w:cs="Times New Roman"/>
          <w:color w:val="000000" w:themeColor="text1"/>
          <w:szCs w:val="24"/>
          <w:lang w:val="en-US"/>
          <w14:textFill>
            <w14:solidFill>
              <w14:schemeClr w14:val="tx1"/>
            </w14:solidFill>
          </w14:textFill>
        </w:rPr>
        <w:t>rs</w:t>
      </w:r>
      <w:r>
        <w:rPr>
          <w:rFonts w:ascii="Times New Roman" w:hAnsi="Times New Roman" w:cs="Times New Roman"/>
          <w:color w:val="000000" w:themeColor="text1"/>
          <w:szCs w:val="24"/>
          <w:lang w:val="ru-RU"/>
          <w14:textFill>
            <w14:solidFill>
              <w14:schemeClr w14:val="tx1"/>
            </w14:solidFill>
          </w14:textFill>
        </w:rPr>
        <w:t xml:space="preserve">662) и синдромом поликистозных яичников у российских женщин //Медицинская генетика. – 2024. – Т. 23. – №. </w:t>
      </w:r>
      <w:r>
        <w:rPr>
          <w:rFonts w:ascii="Times New Roman" w:hAnsi="Times New Roman" w:cs="Times New Roman"/>
          <w:color w:val="000000" w:themeColor="text1"/>
          <w:szCs w:val="24"/>
          <w14:textFill>
            <w14:solidFill>
              <w14:schemeClr w14:val="tx1"/>
            </w14:solidFill>
          </w14:textFill>
        </w:rPr>
        <w:t>3. – С. 21-30</w:t>
      </w:r>
    </w:p>
    <w:p w14:paraId="726F40F9">
      <w:pPr>
        <w:pStyle w:val="17"/>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Cs w:val="24"/>
          <w:lang w:val="ru-RU"/>
          <w14:textFill>
            <w14:solidFill>
              <w14:schemeClr w14:val="tx1"/>
            </w14:solidFill>
          </w14:textFill>
        </w:rPr>
      </w:pPr>
      <w:r>
        <w:rPr>
          <w:rFonts w:ascii="Times New Roman" w:hAnsi="Times New Roman" w:cs="Times New Roman"/>
          <w:color w:val="000000" w:themeColor="text1"/>
          <w:szCs w:val="24"/>
          <w:lang w:val="ru-RU"/>
          <w14:textFill>
            <w14:solidFill>
              <w14:schemeClr w14:val="tx1"/>
            </w14:solidFill>
          </w14:textFill>
        </w:rPr>
        <w:t xml:space="preserve">Анварова Ш.А., Шукуров Ф.И., Туламетова Ш.А. Инновационные методы решения проблемы женского бесплодия, ассоциированного с эндокринными нарушениями. Акушерство, Гинекология и Репродукция. 2024;18(5):706-719. </w:t>
      </w:r>
      <w:r>
        <w:rPr>
          <w:rFonts w:ascii="Times New Roman" w:hAnsi="Times New Roman" w:cs="Times New Roman"/>
          <w:color w:val="000000" w:themeColor="text1"/>
          <w:szCs w:val="24"/>
          <w14:textFill>
            <w14:solidFill>
              <w14:schemeClr w14:val="tx1"/>
            </w14:solidFill>
          </w14:textFill>
        </w:rPr>
        <w:t>https</w:t>
      </w:r>
      <w:r>
        <w:rPr>
          <w:rFonts w:ascii="Times New Roman" w:hAnsi="Times New Roman" w:cs="Times New Roman"/>
          <w:color w:val="000000" w:themeColor="text1"/>
          <w:szCs w:val="24"/>
          <w:lang w:val="ru-RU"/>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doi</w:t>
      </w:r>
      <w:r>
        <w:rPr>
          <w:rFonts w:ascii="Times New Roman" w:hAnsi="Times New Roman" w:cs="Times New Roman"/>
          <w:color w:val="000000" w:themeColor="text1"/>
          <w:szCs w:val="24"/>
          <w:lang w:val="ru-RU"/>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org</w:t>
      </w:r>
      <w:r>
        <w:rPr>
          <w:rFonts w:ascii="Times New Roman" w:hAnsi="Times New Roman" w:cs="Times New Roman"/>
          <w:color w:val="000000" w:themeColor="text1"/>
          <w:szCs w:val="24"/>
          <w:lang w:val="ru-RU"/>
          <w14:textFill>
            <w14:solidFill>
              <w14:schemeClr w14:val="tx1"/>
            </w14:solidFill>
          </w14:textFill>
        </w:rPr>
        <w:t>/10.17749/2313-7347/</w:t>
      </w:r>
      <w:r>
        <w:rPr>
          <w:rFonts w:ascii="Times New Roman" w:hAnsi="Times New Roman" w:cs="Times New Roman"/>
          <w:color w:val="000000" w:themeColor="text1"/>
          <w:szCs w:val="24"/>
          <w14:textFill>
            <w14:solidFill>
              <w14:schemeClr w14:val="tx1"/>
            </w14:solidFill>
          </w14:textFill>
        </w:rPr>
        <w:t>ob</w:t>
      </w:r>
      <w:r>
        <w:rPr>
          <w:rFonts w:ascii="Times New Roman" w:hAnsi="Times New Roman" w:cs="Times New Roman"/>
          <w:color w:val="000000" w:themeColor="text1"/>
          <w:szCs w:val="24"/>
          <w:lang w:val="ru-RU"/>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gyn</w:t>
      </w:r>
      <w:r>
        <w:rPr>
          <w:rFonts w:ascii="Times New Roman" w:hAnsi="Times New Roman" w:cs="Times New Roman"/>
          <w:color w:val="000000" w:themeColor="text1"/>
          <w:szCs w:val="24"/>
          <w:lang w:val="ru-RU"/>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rep</w:t>
      </w:r>
      <w:r>
        <w:rPr>
          <w:rFonts w:ascii="Times New Roman" w:hAnsi="Times New Roman" w:cs="Times New Roman"/>
          <w:color w:val="000000" w:themeColor="text1"/>
          <w:szCs w:val="24"/>
          <w:lang w:val="ru-RU"/>
          <w14:textFill>
            <w14:solidFill>
              <w14:schemeClr w14:val="tx1"/>
            </w14:solidFill>
          </w14:textFill>
        </w:rPr>
        <w:t xml:space="preserve">.2024.514       </w:t>
      </w:r>
    </w:p>
    <w:p w14:paraId="3B6A2F77">
      <w:pPr>
        <w:pStyle w:val="17"/>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lang w:val="ru-RU"/>
          <w14:textFill>
            <w14:solidFill>
              <w14:schemeClr w14:val="tx1"/>
            </w14:solidFill>
          </w14:textFill>
        </w:rPr>
        <w:t xml:space="preserve">Шукуров Ф.И., Мамажанова Д.М.,Саттарова К.А.,Юлдашева Н.З. Оценка эффективности применения препарата Белара в адъювантной терапии синдрома поликистозных яичников после эндохирургического лечения//Экспериментальная и клиническая фармакология.2022.Том 85.,№8.-С.14-16.  https://doi.org/10.30906/0869-2092-2022-85-8-14-16                                                                                                                                                                                                                                                                                                                                        </w:t>
      </w:r>
    </w:p>
    <w:p w14:paraId="17EDE5E3">
      <w:pPr>
        <w:pStyle w:val="17"/>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lang w:val="en-US"/>
          <w14:textFill>
            <w14:solidFill>
              <w14:schemeClr w14:val="tx1"/>
            </w14:solidFill>
          </w14:textFill>
        </w:rPr>
        <w:t>Dumesic DA, Abbott DH, Chazenbalk GD. An Evolutionary Model for the Ancient Origins of Polycystic Ovary Syndrome. J Clin Med. 2023 Sep 22;12(19):6120. doi: 10.3390/jcm12196120. PMID: 37834765; PMCID: PMC10573644</w:t>
      </w:r>
    </w:p>
    <w:p w14:paraId="1C98EC77">
      <w:pPr>
        <w:pStyle w:val="17"/>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Cs w:val="24"/>
          <w:lang w:val="ru-RU"/>
          <w14:textFill>
            <w14:solidFill>
              <w14:schemeClr w14:val="tx1"/>
            </w14:solidFill>
          </w14:textFill>
        </w:rPr>
      </w:pPr>
      <w:r>
        <w:rPr>
          <w:rFonts w:ascii="Times New Roman" w:hAnsi="Times New Roman" w:cs="Times New Roman"/>
          <w:color w:val="000000" w:themeColor="text1"/>
          <w:szCs w:val="24"/>
          <w:lang w:val="ru-RU"/>
          <w14:textFill>
            <w14:solidFill>
              <w14:schemeClr w14:val="tx1"/>
            </w14:solidFill>
          </w14:textFill>
        </w:rPr>
        <w:t>Гасиева Д. М. и др. Синдром поликистозных яичников: новые и перспективные варианты лечения//</w:t>
      </w:r>
      <w:r>
        <w:rPr>
          <w:rFonts w:ascii="Times New Roman" w:hAnsi="Times New Roman" w:cs="Times New Roman"/>
          <w:color w:val="000000" w:themeColor="text1"/>
          <w:szCs w:val="24"/>
          <w14:textFill>
            <w14:solidFill>
              <w14:schemeClr w14:val="tx1"/>
            </w14:solidFill>
          </w14:textFill>
        </w:rPr>
        <w:t>Problems</w:t>
      </w:r>
      <w:r>
        <w:rPr>
          <w:rFonts w:ascii="Times New Roman" w:hAnsi="Times New Roman" w:cs="Times New Roman"/>
          <w:color w:val="000000" w:themeColor="text1"/>
          <w:szCs w:val="24"/>
          <w:lang w:val="ru-RU"/>
          <w14:textFill>
            <w14:solidFill>
              <w14:schemeClr w14:val="tx1"/>
            </w14:solidFill>
          </w14:textFill>
        </w:rPr>
        <w:t xml:space="preserve"> </w:t>
      </w:r>
      <w:r>
        <w:rPr>
          <w:rFonts w:ascii="Times New Roman" w:hAnsi="Times New Roman" w:cs="Times New Roman"/>
          <w:color w:val="000000" w:themeColor="text1"/>
          <w:szCs w:val="24"/>
          <w14:textFill>
            <w14:solidFill>
              <w14:schemeClr w14:val="tx1"/>
            </w14:solidFill>
          </w14:textFill>
        </w:rPr>
        <w:t>of</w:t>
      </w:r>
      <w:r>
        <w:rPr>
          <w:rFonts w:ascii="Times New Roman" w:hAnsi="Times New Roman" w:cs="Times New Roman"/>
          <w:color w:val="000000" w:themeColor="text1"/>
          <w:szCs w:val="24"/>
          <w:lang w:val="ru-RU"/>
          <w14:textFill>
            <w14:solidFill>
              <w14:schemeClr w14:val="tx1"/>
            </w14:solidFill>
          </w14:textFill>
        </w:rPr>
        <w:t xml:space="preserve"> </w:t>
      </w:r>
      <w:r>
        <w:rPr>
          <w:rFonts w:ascii="Times New Roman" w:hAnsi="Times New Roman" w:cs="Times New Roman"/>
          <w:color w:val="000000" w:themeColor="text1"/>
          <w:szCs w:val="24"/>
          <w14:textFill>
            <w14:solidFill>
              <w14:schemeClr w14:val="tx1"/>
            </w14:solidFill>
          </w14:textFill>
        </w:rPr>
        <w:t>Endocrinology</w:t>
      </w:r>
      <w:r>
        <w:rPr>
          <w:rFonts w:ascii="Times New Roman" w:hAnsi="Times New Roman" w:cs="Times New Roman"/>
          <w:color w:val="000000" w:themeColor="text1"/>
          <w:szCs w:val="24"/>
          <w:lang w:val="ru-RU"/>
          <w14:textFill>
            <w14:solidFill>
              <w14:schemeClr w14:val="tx1"/>
            </w14:solidFill>
          </w14:textFill>
        </w:rPr>
        <w:t>.– 2024. – Т. 70. – №. 4. – С. 103</w:t>
      </w:r>
    </w:p>
    <w:p w14:paraId="31B45125">
      <w:pPr>
        <w:pStyle w:val="17"/>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color w:val="000000" w:themeColor="text1"/>
          <w:szCs w:val="24"/>
          <w:lang w:val="en-US"/>
          <w14:textFill>
            <w14:solidFill>
              <w14:schemeClr w14:val="tx1"/>
            </w14:solidFill>
          </w14:textFill>
        </w:rPr>
        <w:t>Joham A.E., Norman R.J., Stener-Victorin E. et al. Polycystic ovary syndrome. Lancet Diabetes Endocrinol. 2022;10(9):668–680. DOI: 10.1016/S2213-8587(22)00163-2.</w:t>
      </w:r>
    </w:p>
    <w:p w14:paraId="6D99CFF5">
      <w:pPr>
        <w:pStyle w:val="17"/>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lang w:val="en-US"/>
          <w14:textFill>
            <w14:solidFill>
              <w14:schemeClr w14:val="tx1"/>
            </w14:solidFill>
          </w14:textFill>
        </w:rPr>
        <w:t xml:space="preserve"> Unluhizarci K., Karaca Z., Kelestimur F. Role of insulin and insulin resistance in androgen excess disorders. World J Diabetes. 2021;12(5):616–629. DOI: 10.4239/wjd.v12.i5.616.</w:t>
      </w:r>
    </w:p>
    <w:p w14:paraId="40CBC9D6">
      <w:pPr>
        <w:pStyle w:val="17"/>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lang w:val="en-US"/>
          <w14:textFill>
            <w14:solidFill>
              <w14:schemeClr w14:val="tx1"/>
            </w14:solidFill>
          </w14:textFill>
        </w:rPr>
        <w:t>Moghetti P., Tosi F. Insulin resistance and PCOS: chicken or egg? J Endocrinol Invest. 2021;44(2):233–244. DOI: 10.1007/s40618-020-01351-0.</w:t>
      </w:r>
    </w:p>
    <w:p w14:paraId="650AFCDE">
      <w:pPr>
        <w:pStyle w:val="17"/>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lang w:val="en-US"/>
          <w14:textFill>
            <w14:solidFill>
              <w14:schemeClr w14:val="tx1"/>
            </w14:solidFill>
          </w14:textFill>
        </w:rPr>
        <w:t>Kamenov Z., Gateva A. Inositols in PCOS. Molecules. 2020;25(23):5566. DOI: 10.3390/molecules25235566.</w:t>
      </w:r>
    </w:p>
    <w:p w14:paraId="7193C097">
      <w:pPr>
        <w:pStyle w:val="17"/>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color w:val="000000" w:themeColor="text1"/>
          <w:szCs w:val="24"/>
          <w:lang w:val="en-US"/>
          <w14:textFill>
            <w14:solidFill>
              <w14:schemeClr w14:val="tx1"/>
            </w14:solidFill>
          </w14:textFill>
        </w:rPr>
        <w:t xml:space="preserve">Siddiqui S. et al. A brief insight into the etiology, genetics, and immunology of polycystic ovarian syndrome (PCOS) //Journal of assisted reproduction and genetics. – 2022. – Т. 39. – №. 11. – С. 2439-2473.; </w:t>
      </w:r>
    </w:p>
    <w:p w14:paraId="4C5048EE">
      <w:pPr>
        <w:pStyle w:val="17"/>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color w:val="000000" w:themeColor="text1"/>
          <w:szCs w:val="24"/>
          <w:lang w:val="en-US"/>
          <w14:textFill>
            <w14:solidFill>
              <w14:schemeClr w14:val="tx1"/>
            </w14:solidFill>
          </w14:textFill>
        </w:rPr>
        <w:t>C</w:t>
      </w:r>
      <w:r>
        <w:rPr>
          <w:rFonts w:ascii="Times New Roman" w:hAnsi="Times New Roman" w:cs="Times New Roman"/>
          <w:color w:val="000000" w:themeColor="text1"/>
          <w:szCs w:val="24"/>
          <w14:textFill>
            <w14:solidFill>
              <w14:schemeClr w14:val="tx1"/>
            </w14:solidFill>
          </w14:textFill>
        </w:rPr>
        <w:t>а</w:t>
      </w:r>
      <w:r>
        <w:rPr>
          <w:rFonts w:ascii="Times New Roman" w:hAnsi="Times New Roman" w:cs="Times New Roman"/>
          <w:color w:val="000000" w:themeColor="text1"/>
          <w:szCs w:val="24"/>
          <w:lang w:val="en-US"/>
          <w14:textFill>
            <w14:solidFill>
              <w14:schemeClr w14:val="tx1"/>
            </w14:solidFill>
          </w14:textFill>
        </w:rPr>
        <w:t>rlomagno G., Unfer V., Roseff S. The D-chir</w:t>
      </w:r>
      <w:r>
        <w:rPr>
          <w:rFonts w:ascii="Times New Roman" w:hAnsi="Times New Roman" w:cs="Times New Roman"/>
          <w:color w:val="000000" w:themeColor="text1"/>
          <w:szCs w:val="24"/>
          <w14:textFill>
            <w14:solidFill>
              <w14:schemeClr w14:val="tx1"/>
            </w14:solidFill>
          </w14:textFill>
        </w:rPr>
        <w:t>о</w:t>
      </w:r>
      <w:r>
        <w:rPr>
          <w:rFonts w:ascii="Times New Roman" w:hAnsi="Times New Roman" w:cs="Times New Roman"/>
          <w:color w:val="000000" w:themeColor="text1"/>
          <w:szCs w:val="24"/>
          <w:lang w:val="en-US"/>
          <w14:textFill>
            <w14:solidFill>
              <w14:schemeClr w14:val="tx1"/>
            </w14:solidFill>
          </w14:textFill>
        </w:rPr>
        <w:t>-in</w:t>
      </w:r>
      <w:r>
        <w:rPr>
          <w:rFonts w:ascii="Times New Roman" w:hAnsi="Times New Roman" w:cs="Times New Roman"/>
          <w:color w:val="000000" w:themeColor="text1"/>
          <w:szCs w:val="24"/>
          <w14:textFill>
            <w14:solidFill>
              <w14:schemeClr w14:val="tx1"/>
            </w14:solidFill>
          </w14:textFill>
        </w:rPr>
        <w:t>о</w:t>
      </w:r>
      <w:r>
        <w:rPr>
          <w:rFonts w:ascii="Times New Roman" w:hAnsi="Times New Roman" w:cs="Times New Roman"/>
          <w:color w:val="000000" w:themeColor="text1"/>
          <w:szCs w:val="24"/>
          <w:lang w:val="en-US"/>
          <w14:textFill>
            <w14:solidFill>
              <w14:schemeClr w14:val="tx1"/>
            </w14:solidFill>
          </w14:textFill>
        </w:rPr>
        <w:t>sitol paradox in the ovary. Fertil Steril. 2011;95(8):2515–2516. DOI: 10.1016/j.fertnstert.2011.05.027.</w:t>
      </w:r>
    </w:p>
    <w:p w14:paraId="3F0AB7D7">
      <w:pPr>
        <w:pStyle w:val="17"/>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color w:val="000000" w:themeColor="text1"/>
          <w:szCs w:val="24"/>
          <w:lang w:val="en-US"/>
          <w14:textFill>
            <w14:solidFill>
              <w14:schemeClr w14:val="tx1"/>
            </w14:solidFill>
          </w14:textFill>
        </w:rPr>
        <w:t>De Leo V., Musacchio M.C., Cappelli V. et al. Genetic, hormonal and metab</w:t>
      </w:r>
      <w:r>
        <w:rPr>
          <w:rFonts w:ascii="Times New Roman" w:hAnsi="Times New Roman" w:cs="Times New Roman"/>
          <w:color w:val="000000" w:themeColor="text1"/>
          <w:szCs w:val="24"/>
          <w14:textFill>
            <w14:solidFill>
              <w14:schemeClr w14:val="tx1"/>
            </w14:solidFill>
          </w14:textFill>
        </w:rPr>
        <w:t>о</w:t>
      </w:r>
      <w:r>
        <w:rPr>
          <w:rFonts w:ascii="Times New Roman" w:hAnsi="Times New Roman" w:cs="Times New Roman"/>
          <w:color w:val="000000" w:themeColor="text1"/>
          <w:szCs w:val="24"/>
          <w:lang w:val="en-US"/>
          <w14:textFill>
            <w14:solidFill>
              <w14:schemeClr w14:val="tx1"/>
            </w14:solidFill>
          </w14:textFill>
        </w:rPr>
        <w:t>lic aspects of PCOS: an update. Reprod Biol Endocrinol. 2016;14(1):38. DOI: 10.1186/s12958-016-0173-x.</w:t>
      </w:r>
    </w:p>
    <w:p w14:paraId="193B83BB">
      <w:pPr>
        <w:pStyle w:val="17"/>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color w:val="000000" w:themeColor="text1"/>
          <w:szCs w:val="24"/>
          <w:lang w:val="en-US"/>
          <w14:textFill>
            <w14:solidFill>
              <w14:schemeClr w14:val="tx1"/>
            </w14:solidFill>
          </w14:textFill>
        </w:rPr>
        <w:t xml:space="preserve"> Behboudi-Gandevani S., Ramezani Tehrani F., Rostami Dovom M. et al. Insulin resistance in obesity and polycystic ovary syndr</w:t>
      </w:r>
      <w:r>
        <w:rPr>
          <w:rFonts w:ascii="Times New Roman" w:hAnsi="Times New Roman" w:cs="Times New Roman"/>
          <w:color w:val="000000" w:themeColor="text1"/>
          <w:szCs w:val="24"/>
          <w14:textFill>
            <w14:solidFill>
              <w14:schemeClr w14:val="tx1"/>
            </w14:solidFill>
          </w14:textFill>
        </w:rPr>
        <w:t>о</w:t>
      </w:r>
      <w:r>
        <w:rPr>
          <w:rFonts w:ascii="Times New Roman" w:hAnsi="Times New Roman" w:cs="Times New Roman"/>
          <w:color w:val="000000" w:themeColor="text1"/>
          <w:szCs w:val="24"/>
          <w:lang w:val="en-US"/>
          <w14:textFill>
            <w14:solidFill>
              <w14:schemeClr w14:val="tx1"/>
            </w14:solidFill>
          </w14:textFill>
        </w:rPr>
        <w:t>me: systematic review and meta-analysis of observational studies. Gynecol Endocrinol. 2016;32(5):343–353. DOI: 10.3109/09513590.2015.1117069.</w:t>
      </w:r>
    </w:p>
    <w:p w14:paraId="1B39617F">
      <w:pPr>
        <w:pStyle w:val="17"/>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color w:val="000000" w:themeColor="text1"/>
          <w:szCs w:val="24"/>
          <w:lang w:val="en-US"/>
          <w14:textFill>
            <w14:solidFill>
              <w14:schemeClr w14:val="tx1"/>
            </w14:solidFill>
          </w14:textFill>
        </w:rPr>
        <w:t>Guarano A., Cap</w:t>
      </w:r>
      <w:r>
        <w:rPr>
          <w:rFonts w:ascii="Times New Roman" w:hAnsi="Times New Roman" w:cs="Times New Roman"/>
          <w:color w:val="000000" w:themeColor="text1"/>
          <w:szCs w:val="24"/>
          <w14:textFill>
            <w14:solidFill>
              <w14:schemeClr w14:val="tx1"/>
            </w14:solidFill>
          </w14:textFill>
        </w:rPr>
        <w:t>о</w:t>
      </w:r>
      <w:r>
        <w:rPr>
          <w:rFonts w:ascii="Times New Roman" w:hAnsi="Times New Roman" w:cs="Times New Roman"/>
          <w:color w:val="000000" w:themeColor="text1"/>
          <w:szCs w:val="24"/>
          <w:lang w:val="en-US"/>
          <w14:textFill>
            <w14:solidFill>
              <w14:schemeClr w14:val="tx1"/>
            </w14:solidFill>
          </w14:textFill>
        </w:rPr>
        <w:t>zzi A., Cristodoro M. et al. Alpha Lipoic Acid Efficacy in PCOS Treatment: What Is the Truth? Nutrients. 2023;15(14):3209. DOI: 10.3390/nu15143209.</w:t>
      </w:r>
    </w:p>
    <w:p w14:paraId="36278315">
      <w:pPr>
        <w:pStyle w:val="17"/>
        <w:widowControl w:val="0"/>
        <w:numPr>
          <w:ilvl w:val="0"/>
          <w:numId w:val="2"/>
        </w:numPr>
        <w:tabs>
          <w:tab w:val="left" w:pos="0"/>
          <w:tab w:val="left" w:pos="1276"/>
        </w:tabs>
        <w:autoSpaceDE w:val="0"/>
        <w:autoSpaceDN w:val="0"/>
        <w:spacing w:after="0" w:line="240" w:lineRule="auto"/>
        <w:ind w:left="0" w:firstLine="709"/>
        <w:jc w:val="both"/>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32-33.</w:t>
      </w:r>
    </w:p>
    <w:p w14:paraId="2FB1A8CD">
      <w:pPr>
        <w:spacing w:line="258" w:lineRule="auto"/>
        <w:rPr>
          <w:rFonts w:ascii="Arial"/>
          <w:sz w:val="21"/>
        </w:rPr>
      </w:pPr>
    </w:p>
    <w:sectPr>
      <w:type w:val="continuous"/>
      <w:pgSz w:w="12240" w:h="15840"/>
      <w:pgMar w:top="1057" w:right="799" w:bottom="819" w:left="722" w:header="560" w:footer="575" w:gutter="0"/>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6"/>
    <w:family w:val="auto"/>
    <w:pitch w:val="default"/>
    <w:sig w:usb0="9000002F" w:usb1="29D77CFB" w:usb2="00000012" w:usb3="00000000" w:csb0="00080001" w:csb1="00000000"/>
  </w:font>
  <w:font w:name="Calibri">
    <w:panose1 w:val="020F0502020204030204"/>
    <w:charset w:val="86"/>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TimesNewRomanPS-BoldMT">
    <w:altName w:val="Segoe Print"/>
    <w:panose1 w:val="00000000000000000000"/>
    <w:charset w:val="00"/>
    <w:family w:val="roman"/>
    <w:pitch w:val="default"/>
    <w:sig w:usb0="00000000" w:usb1="00000000" w:usb2="00000000" w:usb3="00000000" w:csb0="00000000" w:csb1="00000000"/>
  </w:font>
  <w:font w:name="TimesNewRomanPSMT">
    <w:altName w:val="MS Gothic"/>
    <w:panose1 w:val="00000000000000000000"/>
    <w:charset w:val="80"/>
    <w:family w:val="auto"/>
    <w:pitch w:val="default"/>
    <w:sig w:usb0="00000000" w:usb1="00000000" w:usb2="00000010" w:usb3="00000000" w:csb0="00020008"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3EF31">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79E7A">
    <w:pPr>
      <w:pStyle w:val="13"/>
    </w:pPr>
    <w:bookmarkStart w:id="1" w:name="_Hlk198835416"/>
    <w:bookmarkStart w:id="2" w:name="_Hlk198835417"/>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Текстовое поле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5EFBF">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NJWO7QAAAABQEAAA8AAAAAAAAAAQAgAAAAIgAAAGRycy9kb3du&#10;cmV2LnhtbFBLAQIUABQAAAAIAIdO4kBYy9lzQAIAAHUEAAAOAAAAAAAAAAEAIAAAAB8BAABkcnMv&#10;ZTJvRG9jLnhtbFBLBQYAAAAABgAGAFkBAADRBQAAAAA=&#10;">
              <v:fill on="f" focussize="0,0"/>
              <v:stroke on="f" weight="0.5pt"/>
              <v:imagedata o:title=""/>
              <o:lock v:ext="edit" aspectratio="f"/>
              <v:textbox inset="0mm,0mm,0mm,0mm" style="mso-fit-shape-to-text:t;">
                <w:txbxContent>
                  <w:p w14:paraId="13D5EFBF">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bCs/>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rPr>
      <w:t>JESM</w:t>
    </w:r>
    <w:r>
      <w:rPr>
        <w:bCs/>
        <w:color w:val="000000" w:themeColor="text1"/>
        <w:sz w:val="28"/>
        <w:szCs w:val="28"/>
        <w:lang w:val="en-US"/>
        <w14:shadow w14:blurRad="38100" w14:dist="19050" w14:dir="2700000" w14:sx="100000" w14:sy="100000" w14:kx="0" w14:ky="0" w14:algn="tl">
          <w14:schemeClr w14:val="dk1">
            <w14:alpha w14:val="60000"/>
          </w14:schemeClr>
        </w14:shadow>
        <w14:textFill>
          <w14:solidFill>
            <w14:schemeClr w14:val="tx1"/>
          </w14:solidFill>
        </w14:textFill>
      </w:rPr>
      <w:t xml:space="preserve"> 2025; Volume 1; Issue 5</w:t>
    </w:r>
    <w:r>
      <w:rPr>
        <w:bCs/>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rPr>
      <w:ptab w:relativeTo="margin" w:alignment="center" w:leader="none"/>
    </w:r>
    <w:r>
      <w:rPr>
        <w:rFonts w:hint="default"/>
        <w:bCs/>
        <w:color w:val="000000" w:themeColor="text1"/>
        <w:sz w:val="28"/>
        <w:szCs w:val="28"/>
        <w:lang w:val="en-US"/>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bCs/>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rPr>
      <w:ptab w:relativeTo="margin" w:alignment="right" w:leader="none"/>
    </w:r>
    <w:bookmarkEnd w:id="1"/>
    <w:bookmarkEnd w:id="2"/>
    <w:r>
      <w:rPr>
        <w:bCs/>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rPr>
      <w:t xml:space="preserve"> https://journals.tma.uz/</w:t>
    </w:r>
  </w:p>
  <w:p w14:paraId="30312A84">
    <w:pPr>
      <w:pStyle w:val="12"/>
      <w:spacing w:line="181" w:lineRule="auto"/>
      <w:ind w:right="7"/>
      <w:jc w:val="right"/>
      <w:rPr>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14:paraId="65CB5CAD">
      <w:pPr>
        <w:pStyle w:val="10"/>
        <w:rPr>
          <w:rFonts w:ascii="Times New Roman" w:hAnsi="Times New Roman" w:cs="Times New Roman"/>
        </w:rPr>
      </w:pPr>
      <w:r>
        <w:rPr>
          <w:rStyle w:val="6"/>
        </w:rPr>
        <w:footnoteRef/>
      </w:r>
      <w:r>
        <w:rPr>
          <w:rFonts w:ascii="Times New Roman" w:hAnsi="Times New Roman" w:cs="Times New Roman"/>
        </w:rPr>
        <w:t xml:space="preserve"> </w:t>
      </w:r>
      <w:r>
        <w:rPr>
          <w:rFonts w:ascii="Times New Roman" w:hAnsi="Times New Roman" w:cs="Times New Roman"/>
          <w:b/>
          <w:bCs/>
        </w:rPr>
        <w:t>Автор для переписки:</w:t>
      </w:r>
      <w:r>
        <w:rPr>
          <w:rFonts w:ascii="Times New Roman" w:hAnsi="Times New Roman" w:cs="Times New Roman"/>
        </w:rPr>
        <w:t xml:space="preserve"> Д.м.н.,профессор, Заведующая кафедрой акушерства и гинекологии ФПДО, Самаркандского медицинского университета, Самарканд, Узбекистан, </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xml:space="preserve">: </w:t>
      </w:r>
      <w:r>
        <w:fldChar w:fldCharType="begin"/>
      </w:r>
      <w:r>
        <w:instrText xml:space="preserve"> HYPERLINK "mailto:larisa_mct@yahoo.com" </w:instrText>
      </w:r>
      <w:r>
        <w:fldChar w:fldCharType="separate"/>
      </w:r>
      <w:r>
        <w:rPr>
          <w:rStyle w:val="8"/>
          <w:rFonts w:ascii="Times New Roman" w:hAnsi="Times New Roman" w:cs="Times New Roman"/>
          <w:lang w:val="en-US"/>
        </w:rPr>
        <w:t>larisa</w:t>
      </w:r>
      <w:r>
        <w:rPr>
          <w:rStyle w:val="8"/>
          <w:rFonts w:ascii="Times New Roman" w:hAnsi="Times New Roman" w:cs="Times New Roman"/>
        </w:rPr>
        <w:t>_</w:t>
      </w:r>
      <w:r>
        <w:rPr>
          <w:rStyle w:val="8"/>
          <w:rFonts w:ascii="Times New Roman" w:hAnsi="Times New Roman" w:cs="Times New Roman"/>
          <w:lang w:val="en-US"/>
        </w:rPr>
        <w:t>mct</w:t>
      </w:r>
      <w:r>
        <w:rPr>
          <w:rStyle w:val="8"/>
          <w:rFonts w:ascii="Times New Roman" w:hAnsi="Times New Roman" w:cs="Times New Roman"/>
        </w:rPr>
        <w:t>@</w:t>
      </w:r>
      <w:r>
        <w:rPr>
          <w:rStyle w:val="8"/>
          <w:rFonts w:ascii="Times New Roman" w:hAnsi="Times New Roman" w:cs="Times New Roman"/>
          <w:lang w:val="en-US"/>
        </w:rPr>
        <w:t>yahoo</w:t>
      </w:r>
      <w:r>
        <w:rPr>
          <w:rStyle w:val="8"/>
          <w:rFonts w:ascii="Times New Roman" w:hAnsi="Times New Roman" w:cs="Times New Roman"/>
        </w:rPr>
        <w:t>.</w:t>
      </w:r>
      <w:r>
        <w:rPr>
          <w:rStyle w:val="8"/>
          <w:rFonts w:ascii="Times New Roman" w:hAnsi="Times New Roman" w:cs="Times New Roman"/>
          <w:lang w:val="en-US"/>
        </w:rPr>
        <w:t>com</w:t>
      </w:r>
      <w:r>
        <w:rPr>
          <w:rStyle w:val="8"/>
          <w:rFonts w:ascii="Times New Roman" w:hAnsi="Times New Roman" w:cs="Times New Roman"/>
          <w:lang w:val="en-US"/>
        </w:rPr>
        <w:fldChar w:fldCharType="end"/>
      </w:r>
      <w:r>
        <w:rPr>
          <w:rFonts w:ascii="Times New Roman" w:hAnsi="Times New Roman" w:cs="Times New Roman"/>
        </w:rPr>
        <w:t xml:space="preserve"> </w:t>
      </w:r>
    </w:p>
  </w:footnote>
  <w:footnote w:id="1">
    <w:p w14:paraId="45AF51EF">
      <w:pPr>
        <w:pStyle w:val="10"/>
        <w:rPr>
          <w:lang w:val="uz-Cyrl-UZ"/>
        </w:rPr>
      </w:pPr>
      <w:r>
        <w:rPr>
          <w:rFonts w:ascii="Times New Roman" w:hAnsi="Times New Roman" w:cs="Times New Roman"/>
        </w:rPr>
        <w:t xml:space="preserve">Асисстент кафедры акушерства и гинекологии ФПДО, Самаркандского медицинского университета, Самарканд, Узбекистан,  </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xml:space="preserve">: </w:t>
      </w:r>
      <w:r>
        <w:fldChar w:fldCharType="begin"/>
      </w:r>
      <w:r>
        <w:instrText xml:space="preserve"> HYPERLINK "mailto:xabibadjan86@gmail.com" </w:instrText>
      </w:r>
      <w:r>
        <w:fldChar w:fldCharType="separate"/>
      </w:r>
      <w:r>
        <w:rPr>
          <w:rStyle w:val="8"/>
          <w:rFonts w:ascii="Times New Roman" w:hAnsi="Times New Roman" w:cs="Times New Roman"/>
          <w:lang w:val="en-US"/>
        </w:rPr>
        <w:t>xabibadjan</w:t>
      </w:r>
      <w:r>
        <w:rPr>
          <w:rStyle w:val="8"/>
          <w:rFonts w:ascii="Times New Roman" w:hAnsi="Times New Roman" w:cs="Times New Roman"/>
        </w:rPr>
        <w:t>86@</w:t>
      </w:r>
      <w:r>
        <w:rPr>
          <w:rStyle w:val="8"/>
          <w:rFonts w:ascii="Times New Roman" w:hAnsi="Times New Roman" w:cs="Times New Roman"/>
          <w:lang w:val="en-US"/>
        </w:rPr>
        <w:t>gmail</w:t>
      </w:r>
      <w:r>
        <w:rPr>
          <w:rStyle w:val="8"/>
          <w:rFonts w:ascii="Times New Roman" w:hAnsi="Times New Roman" w:cs="Times New Roman"/>
        </w:rPr>
        <w:t>.</w:t>
      </w:r>
      <w:r>
        <w:rPr>
          <w:rStyle w:val="8"/>
          <w:rFonts w:ascii="Times New Roman" w:hAnsi="Times New Roman" w:cs="Times New Roman"/>
          <w:lang w:val="en-US"/>
        </w:rPr>
        <w:t>com</w:t>
      </w:r>
      <w:r>
        <w:rPr>
          <w:rStyle w:val="8"/>
          <w:rFonts w:ascii="Times New Roman" w:hAnsi="Times New Roman" w:cs="Times New Roman"/>
          <w:lang w:val="en-US"/>
        </w:rPr>
        <w:fldChar w:fldCharType="end"/>
      </w:r>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80BBC">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A1FB4">
    <w:pPr>
      <w:pStyle w:val="11"/>
      <w:tabs>
        <w:tab w:val="center" w:pos="4677"/>
        <w:tab w:val="right" w:pos="9355"/>
        <w:tab w:val="clear" w:pos="4513"/>
        <w:tab w:val="clear" w:pos="9026"/>
      </w:tabs>
      <w:rPr>
        <w:rFonts w:hint="default"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rPr>
    </w:pPr>
    <w:r>
      <w:rPr>
        <w:rFonts w:hint="default"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rPr>
      <w:t xml:space="preserve">Journal of Education and Scientific Medicine             </w:t>
    </w:r>
    <w:r>
      <w:rPr>
        <w:rFonts w:hint="default" w:cs="Times New Roman"/>
        <w:bCs/>
        <w:color w:val="000000" w:themeColor="text1"/>
        <w:sz w:val="28"/>
        <w:szCs w:val="28"/>
        <w:lang w:val="en-US"/>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default"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rPr>
      <w:t xml:space="preserve">   ISSN 2181-3175</w:t>
    </w:r>
  </w:p>
  <w:p w14:paraId="631F7076">
    <w:pPr>
      <w:pStyle w:val="12"/>
      <w:spacing w:before="58" w:line="165" w:lineRule="auto"/>
      <w:ind w:right="59" w:firstLine="275"/>
      <w:rPr>
        <w:rFonts w:ascii="Malgun Gothic" w:hAnsi="Malgun Gothic" w:eastAsia="Malgun Gothic" w:cs="Malgun Gothic"/>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F2C10"/>
    <w:multiLevelType w:val="multilevel"/>
    <w:tmpl w:val="0EEF2C1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8345E49"/>
    <w:multiLevelType w:val="multilevel"/>
    <w:tmpl w:val="68345E49"/>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4"/>
    <w:footnote w:id="5"/>
  </w:footnotePr>
  <w:endnotePr>
    <w:endnote w:id="0"/>
    <w:endnote w:id="1"/>
  </w:endnotePr>
  <w:compat>
    <w:spaceForUL/>
    <w:ulTrailSpace/>
    <w:doNotExpandShiftReturn/>
    <w:doNotWrapTextWithPunct/>
    <w:doNotUseEastAsianBreakRules/>
    <w:compatSetting w:name="compatibilityMode" w:uri="http://schemas.microsoft.com/office/word" w:val="14"/>
  </w:compat>
  <w:rsids>
    <w:rsidRoot w:val="00000000"/>
    <w:rsid w:val="0064744D"/>
    <w:rsid w:val="038764C0"/>
    <w:rsid w:val="0BCF52F0"/>
    <w:rsid w:val="17B45A93"/>
    <w:rsid w:val="1A4E3631"/>
    <w:rsid w:val="22287087"/>
    <w:rsid w:val="2FD0227E"/>
    <w:rsid w:val="369F5ED2"/>
    <w:rsid w:val="3F4A64F8"/>
    <w:rsid w:val="4280707D"/>
    <w:rsid w:val="50DB3EB6"/>
    <w:rsid w:val="59296DD4"/>
    <w:rsid w:val="66BA4C17"/>
    <w:rsid w:val="6838670D"/>
    <w:rsid w:val="6DC31233"/>
    <w:rsid w:val="6F3068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qFormat="1" w:unhideWhenUsed="0" w:uiPriority="0" w:semiHidden="0" w:name="Table Classic 3"/>
    <w:lsdException w:qFormat="1" w:unhideWhenUsed="0" w:uiPriority="0" w:semiHidden="0" w:name="Table Classic 4"/>
    <w:lsdException w:unhideWhenUsed="0" w:uiPriority="0" w:semiHidden="0" w:name="Table Colorful 1"/>
    <w:lsdException w:qFormat="1"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qFormat="1" w:unhideWhenUsed="0" w:uiPriority="0" w:semiHidden="0" w:name="Table Columns 3"/>
    <w:lsdException w:qFormat="1"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qFormat="1" w:unhideWhenUsed="0" w:uiPriority="0" w:semiHidden="0" w:name="Table 3D effects 2"/>
    <w:lsdException w:qFormat="1"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1" w:semiHidden="0" w:name="No Spacing"/>
    <w:lsdException w:qFormat="1" w:unhideWhenUsed="0" w:uiPriority="34" w:semiHidden="0" w:name="List Paragraph"/>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9"/>
    <w:pPr>
      <w:keepNext/>
      <w:keepLines/>
      <w:spacing w:before="160" w:after="80" w:line="240" w:lineRule="auto"/>
      <w:outlineLvl w:val="1"/>
    </w:pPr>
    <w:rPr>
      <w:rFonts w:asciiTheme="majorHAnsi" w:hAnsiTheme="majorHAnsi" w:eastAsiaTheme="majorEastAsia" w:cstheme="majorBidi"/>
      <w:color w:val="376092" w:themeColor="accent1" w:themeShade="BF"/>
      <w:sz w:val="32"/>
      <w:szCs w:val="32"/>
      <w:lang w:val="ru-RU" w:eastAsia="en-US" w:bidi="ar-SA"/>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otnote reference"/>
    <w:basedOn w:val="4"/>
    <w:unhideWhenUsed/>
    <w:qFormat/>
    <w:uiPriority w:val="99"/>
    <w:rPr>
      <w:vertAlign w:val="superscript"/>
    </w:rPr>
  </w:style>
  <w:style w:type="character" w:styleId="7">
    <w:name w:val="Emphasis"/>
    <w:basedOn w:val="4"/>
    <w:qFormat/>
    <w:uiPriority w:val="20"/>
    <w:rPr>
      <w:i/>
      <w:iCs/>
    </w:rPr>
  </w:style>
  <w:style w:type="character" w:styleId="8">
    <w:name w:val="Hyperlink"/>
    <w:basedOn w:val="4"/>
    <w:unhideWhenUsed/>
    <w:qFormat/>
    <w:uiPriority w:val="99"/>
    <w:rPr>
      <w:color w:val="0000FF" w:themeColor="hyperlink"/>
      <w:u w:val="single"/>
      <w14:textFill>
        <w14:solidFill>
          <w14:schemeClr w14:val="hlink"/>
        </w14:solidFill>
      </w14:textFill>
    </w:rPr>
  </w:style>
  <w:style w:type="character" w:styleId="9">
    <w:name w:val="Strong"/>
    <w:basedOn w:val="4"/>
    <w:qFormat/>
    <w:uiPriority w:val="22"/>
    <w:rPr>
      <w:b/>
      <w:bCs/>
    </w:rPr>
  </w:style>
  <w:style w:type="paragraph" w:styleId="10">
    <w:name w:val="footnote text"/>
    <w:basedOn w:val="1"/>
    <w:unhideWhenUsed/>
    <w:qFormat/>
    <w:uiPriority w:val="99"/>
    <w:pPr>
      <w:spacing w:after="0" w:line="240" w:lineRule="auto"/>
    </w:pPr>
    <w:rPr>
      <w:rFonts w:eastAsiaTheme="minorHAnsi"/>
      <w:sz w:val="20"/>
      <w:szCs w:val="20"/>
      <w:lang w:val="ru-RU" w:eastAsia="en-US" w:bidi="ar-SA"/>
    </w:rPr>
  </w:style>
  <w:style w:type="paragraph" w:styleId="11">
    <w:name w:val="header"/>
    <w:basedOn w:val="1"/>
    <w:unhideWhenUsed/>
    <w:qFormat/>
    <w:uiPriority w:val="0"/>
    <w:pPr>
      <w:tabs>
        <w:tab w:val="center" w:pos="4513"/>
        <w:tab w:val="right" w:pos="9026"/>
      </w:tabs>
      <w:spacing w:after="0" w:line="240" w:lineRule="auto"/>
    </w:pPr>
    <w:rPr>
      <w:rFonts w:ascii="Times New Roman" w:hAnsi="Times New Roman" w:eastAsiaTheme="minorHAnsi"/>
      <w:sz w:val="28"/>
      <w:szCs w:val="22"/>
      <w:lang w:val="ru-RU" w:eastAsia="en-US" w:bidi="ar-SA"/>
    </w:rPr>
  </w:style>
  <w:style w:type="paragraph" w:styleId="12">
    <w:name w:val="Body Text"/>
    <w:basedOn w:val="1"/>
    <w:semiHidden/>
    <w:qFormat/>
    <w:uiPriority w:val="0"/>
    <w:rPr>
      <w:rFonts w:ascii="Times New Roman" w:hAnsi="Times New Roman" w:eastAsia="Times New Roman" w:cs="Times New Roman"/>
      <w:sz w:val="20"/>
      <w:szCs w:val="20"/>
      <w:lang w:val="en-US" w:eastAsia="en-US" w:bidi="ar-SA"/>
    </w:rPr>
  </w:style>
  <w:style w:type="paragraph" w:styleId="13">
    <w:name w:val="footer"/>
    <w:basedOn w:val="1"/>
    <w:unhideWhenUsed/>
    <w:qFormat/>
    <w:uiPriority w:val="99"/>
    <w:pPr>
      <w:tabs>
        <w:tab w:val="center" w:pos="4513"/>
        <w:tab w:val="right" w:pos="9026"/>
      </w:tabs>
      <w:spacing w:after="0" w:line="240" w:lineRule="auto"/>
    </w:pPr>
    <w:rPr>
      <w:rFonts w:ascii="Times New Roman" w:hAnsi="Times New Roman" w:eastAsiaTheme="minorHAnsi"/>
      <w:sz w:val="28"/>
      <w:szCs w:val="22"/>
      <w:lang w:val="ru-RU" w:eastAsia="en-US" w:bidi="ar-SA"/>
    </w:rPr>
  </w:style>
  <w:style w:type="table" w:styleId="14">
    <w:name w:val="Table Grid"/>
    <w:basedOn w:val="5"/>
    <w:qFormat/>
    <w:uiPriority w:val="39"/>
    <w:pPr>
      <w:spacing w:after="0" w:line="240" w:lineRule="auto"/>
    </w:pPr>
    <w:rPr>
      <w:rFonts w:eastAsiaTheme="minorEastAsia"/>
      <w:kern w:val="2"/>
      <w:sz w:val="24"/>
      <w:szCs w:val="21"/>
      <w:lang w:val="en-IN" w:eastAsia="zh-CN" w:bidi="hi-IN"/>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Times New Roman" w:hAnsi="Times New Roman" w:eastAsia="Times New Roman" w:cs="Times New Roman"/>
      <w:sz w:val="18"/>
      <w:szCs w:val="18"/>
      <w:lang w:val="en-US" w:eastAsia="en-US" w:bidi="ar-SA"/>
    </w:rPr>
  </w:style>
  <w:style w:type="paragraph" w:styleId="17">
    <w:name w:val="List Paragraph"/>
    <w:basedOn w:val="1"/>
    <w:qFormat/>
    <w:uiPriority w:val="34"/>
    <w:pPr>
      <w:ind w:left="720"/>
      <w:contextualSpacing/>
    </w:pPr>
  </w:style>
  <w:style w:type="character" w:customStyle="1" w:styleId="18">
    <w:name w:val="_fadein_pfttw_8"/>
    <w:basedOn w:val="4"/>
    <w:qFormat/>
    <w:uiPriority w:val="0"/>
  </w:style>
  <w:style w:type="paragraph" w:customStyle="1" w:styleId="19">
    <w:name w:val="Без интервала1"/>
    <w:next w:val="1"/>
    <w:autoRedefine/>
    <w:qFormat/>
    <w:uiPriority w:val="0"/>
    <w:pPr>
      <w:spacing w:after="0" w:line="240" w:lineRule="auto"/>
    </w:pPr>
    <w:rPr>
      <w:rFonts w:eastAsia="Times New Roman" w:cs="Calibri" w:asciiTheme="minorHAnsi" w:hAnsiTheme="minorHAnsi"/>
      <w:sz w:val="22"/>
      <w:szCs w:val="22"/>
      <w:lang w:val="ru-RU" w:eastAsia="en-US" w:bidi="ar-SA"/>
    </w:rPr>
  </w:style>
  <w:style w:type="character" w:customStyle="1" w:styleId="20">
    <w:name w:val="15"/>
    <w:basedOn w:val="4"/>
    <w:qFormat/>
    <w:uiPriority w:val="0"/>
    <w:rPr>
      <w:rFonts w:hint="default" w:ascii="Times New Roman" w:hAnsi="Times New Roman" w:cs="Times New Roman"/>
      <w:b/>
      <w:bCs/>
      <w:color w:val="000000"/>
    </w:rPr>
  </w:style>
  <w:style w:type="character" w:customStyle="1" w:styleId="21">
    <w:name w:val="16"/>
    <w:basedOn w:val="4"/>
    <w:qFormat/>
    <w:uiPriority w:val="0"/>
    <w:rPr>
      <w:rFonts w:hint="default" w:ascii="Times New Roman" w:hAnsi="Times New Roman" w:cs="Times New Roman"/>
      <w:b/>
      <w:bCs/>
      <w:color w:val="000000"/>
    </w:rPr>
  </w:style>
  <w:style w:type="character" w:customStyle="1" w:styleId="22">
    <w:name w:val="fontstyle01"/>
    <w:basedOn w:val="4"/>
    <w:qFormat/>
    <w:uiPriority w:val="0"/>
    <w:rPr>
      <w:rFonts w:hint="default" w:ascii="Times New Roman" w:hAnsi="Times New Roman" w:cs="Times New Roman"/>
      <w:b/>
      <w:bCs/>
      <w:color w:val="000000"/>
      <w:sz w:val="36"/>
      <w:szCs w:val="36"/>
    </w:rPr>
  </w:style>
  <w:style w:type="paragraph" w:customStyle="1" w:styleId="23">
    <w:name w:val="2 Текст"/>
    <w:basedOn w:val="1"/>
    <w:qFormat/>
    <w:uiPriority w:val="0"/>
    <w:pPr>
      <w:spacing w:after="0" w:line="360" w:lineRule="auto"/>
      <w:ind w:firstLine="720"/>
      <w:jc w:val="both"/>
    </w:pPr>
    <w:rPr>
      <w:rFonts w:ascii="Times New Roman" w:hAnsi="Times New Roman" w:eastAsia="Times New Roman" w:cs="Times New Roman"/>
      <w:bCs/>
      <w:kern w:val="0"/>
      <w:sz w:val="28"/>
      <w:szCs w:val="28"/>
      <w:lang w:val="ru-RU" w:eastAsia="en-US" w:bidi="ar-SA"/>
      <w14:ligatures w14:val="none"/>
    </w:rPr>
  </w:style>
  <w:style w:type="character" w:customStyle="1" w:styleId="24">
    <w:name w:val="Основной текст + Интервал 0 pt"/>
    <w:qFormat/>
    <w:uiPriority w:val="0"/>
    <w:rPr>
      <w:spacing w:val="7"/>
      <w:sz w:val="25"/>
      <w:szCs w:val="25"/>
      <w:lang w:bidi="ar-SA"/>
    </w:rPr>
  </w:style>
  <w:style w:type="paragraph" w:styleId="25">
    <w:name w:val="No Spacing"/>
    <w:qFormat/>
    <w:uiPriority w:val="1"/>
    <w:pPr>
      <w:spacing w:after="0" w:line="240" w:lineRule="auto"/>
    </w:pPr>
    <w:rPr>
      <w:rFonts w:ascii="Times New Roman" w:hAnsi="Times New Roman" w:eastAsiaTheme="minorHAnsi" w:cstheme="minorBidi"/>
      <w:kern w:val="2"/>
      <w:sz w:val="28"/>
      <w:szCs w:val="22"/>
      <w:lang w:val="ru-RU" w:eastAsia="en-US" w:bidi="ar-SA"/>
      <w14:ligatures w14:val="standardContextual"/>
    </w:rPr>
  </w:style>
  <w:style w:type="character" w:customStyle="1" w:styleId="26">
    <w:name w:val="relative"/>
    <w:basedOn w:val="4"/>
    <w:qFormat/>
    <w:uiPriority w:val="0"/>
  </w:style>
  <w:style w:type="character" w:customStyle="1" w:styleId="27">
    <w:name w:val="max-w-full"/>
    <w:basedOn w:val="4"/>
    <w:uiPriority w:val="0"/>
  </w:style>
  <w:style w:type="character" w:customStyle="1" w:styleId="28">
    <w:name w:val="Основной текст (2)"/>
    <w:basedOn w:val="4"/>
    <w:qFormat/>
    <w:uiPriority w:val="0"/>
    <w:rPr>
      <w:rFonts w:ascii="Times New Roman" w:hAnsi="Times New Roman" w:eastAsia="Times New Roman" w:cs="Times New Roman"/>
      <w:color w:val="000000"/>
      <w:spacing w:val="0"/>
      <w:w w:val="100"/>
      <w:position w:val="0"/>
      <w:sz w:val="26"/>
      <w:szCs w:val="26"/>
      <w:u w:val="none"/>
      <w:lang w:val="ru-RU" w:eastAsia="ru-RU" w:bidi="ru-RU"/>
    </w:rPr>
  </w:style>
  <w:style w:type="table" w:customStyle="1" w:styleId="29">
    <w:name w:val="Таблица простая 11"/>
    <w:basedOn w:val="5"/>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30">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3482</Words>
  <Characters>23706</Characters>
  <TotalTime>1</TotalTime>
  <ScaleCrop>false</ScaleCrop>
  <LinksUpToDate>false</LinksUpToDate>
  <CharactersWithSpaces>27314</CharactersWithSpaces>
  <Application>WPS Office_12.2.0.21179_F1E327BC-269C-435d-A152-05C5408002CA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2024-03-21T08:44:00Z</dcterms:created>
  <dc:creator>user</dc:creator>
  <cp:lastModifiedBy>Kamola Sattarova</cp:lastModifiedBy>
  <dcterms:modified xsi:type="dcterms:W3CDTF">2025-05-22T18:32:45Z</dcterms:modified>
  <dc:title>2-8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2025-05-22T22:07:20Z</vt:filetime>
  </property>
  <property fmtid="{D5CDD505-2E9C-101B-9397-08002B2CF9AE}" pid="4" name="KSOProductBuildVer">
    <vt:lpwstr>1049-12.2.0.21179</vt:lpwstr>
  </property>
  <property fmtid="{D5CDD505-2E9C-101B-9397-08002B2CF9AE}" pid="5" name="ICV">
    <vt:lpwstr>74FA2695281C4B1A98511EFCF34265C9_13</vt:lpwstr>
  </property>
</Properties>
</file>